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A6DF" w14:textId="77777777" w:rsidR="003D4828" w:rsidRDefault="003D4828" w:rsidP="003D4828">
      <w:pPr>
        <w:jc w:val="center"/>
      </w:pPr>
      <w:bookmarkStart w:id="0" w:name="_GoBack"/>
      <w:bookmarkEnd w:id="0"/>
      <w:r>
        <w:rPr>
          <w:noProof/>
        </w:rPr>
        <w:drawing>
          <wp:inline distT="0" distB="0" distL="0" distR="0" wp14:anchorId="5EC65718" wp14:editId="78DF211E">
            <wp:extent cx="970280" cy="962025"/>
            <wp:effectExtent l="0" t="0" r="1270"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0280" cy="962025"/>
                    </a:xfrm>
                    <a:prstGeom prst="rect">
                      <a:avLst/>
                    </a:prstGeom>
                    <a:noFill/>
                    <a:ln>
                      <a:noFill/>
                    </a:ln>
                  </pic:spPr>
                </pic:pic>
              </a:graphicData>
            </a:graphic>
          </wp:inline>
        </w:drawing>
      </w:r>
    </w:p>
    <w:p w14:paraId="2EF8972B" w14:textId="77777777" w:rsidR="000B6463" w:rsidRDefault="000B6463" w:rsidP="003D4828">
      <w:pPr>
        <w:pStyle w:val="CoverText"/>
        <w:jc w:val="left"/>
        <w:rPr>
          <w:bCs/>
        </w:rPr>
      </w:pPr>
    </w:p>
    <w:p w14:paraId="1E59AEB5" w14:textId="77777777" w:rsidR="000B6463" w:rsidRDefault="000B6463" w:rsidP="003D4828">
      <w:pPr>
        <w:pStyle w:val="CoverText"/>
        <w:jc w:val="left"/>
        <w:rPr>
          <w:bCs/>
        </w:rPr>
      </w:pPr>
    </w:p>
    <w:p w14:paraId="2DD7BCBA" w14:textId="5193D494" w:rsidR="003D4828" w:rsidRDefault="003D4828" w:rsidP="003D4828">
      <w:pPr>
        <w:pStyle w:val="CoverText"/>
        <w:jc w:val="left"/>
        <w:rPr>
          <w:bCs/>
          <w:sz w:val="20"/>
          <w:u w:val="none"/>
        </w:rPr>
      </w:pPr>
      <w:r w:rsidRPr="00147783">
        <w:rPr>
          <w:bCs/>
        </w:rPr>
        <w:t>Neutral Citation Number: [20</w:t>
      </w:r>
      <w:r w:rsidR="00FC3996" w:rsidRPr="00147783">
        <w:rPr>
          <w:bCs/>
        </w:rPr>
        <w:t>2</w:t>
      </w:r>
      <w:r w:rsidR="00A03909" w:rsidRPr="00147783">
        <w:rPr>
          <w:bCs/>
        </w:rPr>
        <w:t>4</w:t>
      </w:r>
      <w:r w:rsidRPr="00147783">
        <w:rPr>
          <w:bCs/>
        </w:rPr>
        <w:t xml:space="preserve">] EWHC </w:t>
      </w:r>
      <w:r w:rsidR="00147783" w:rsidRPr="00147783">
        <w:rPr>
          <w:bCs/>
        </w:rPr>
        <w:t>1370</w:t>
      </w:r>
      <w:r w:rsidR="00FC3996" w:rsidRPr="00147783">
        <w:rPr>
          <w:bCs/>
        </w:rPr>
        <w:t xml:space="preserve"> (</w:t>
      </w:r>
      <w:r w:rsidR="005A0F49" w:rsidRPr="00147783">
        <w:rPr>
          <w:bCs/>
        </w:rPr>
        <w:t>Admin</w:t>
      </w:r>
      <w:r w:rsidR="00FC3996" w:rsidRPr="00147783">
        <w:rPr>
          <w:bCs/>
        </w:rPr>
        <w:t>)</w:t>
      </w:r>
      <w:r w:rsidR="00FC3996">
        <w:rPr>
          <w:bCs/>
        </w:rPr>
        <w:t xml:space="preserve"> </w:t>
      </w:r>
    </w:p>
    <w:p w14:paraId="39DED0E8" w14:textId="73DC28A4" w:rsidR="00A713C5" w:rsidRDefault="00A713C5" w:rsidP="00A713C5">
      <w:pPr>
        <w:pStyle w:val="CoverText"/>
        <w:rPr>
          <w:b/>
          <w:spacing w:val="-3"/>
        </w:rPr>
      </w:pPr>
      <w:r>
        <w:t xml:space="preserve">Case No: </w:t>
      </w:r>
      <w:r w:rsidR="00A03909">
        <w:t>AC-2023-LDS-000114</w:t>
      </w:r>
    </w:p>
    <w:p w14:paraId="691053DD" w14:textId="77777777" w:rsidR="00DC4E77" w:rsidRDefault="00DC4E77" w:rsidP="00A713C5">
      <w:pPr>
        <w:pStyle w:val="CoverMain"/>
        <w:tabs>
          <w:tab w:val="clear" w:pos="0"/>
        </w:tabs>
      </w:pPr>
    </w:p>
    <w:p w14:paraId="3401364A" w14:textId="2213B4EB" w:rsidR="00A713C5" w:rsidRDefault="00A713C5" w:rsidP="00A713C5">
      <w:pPr>
        <w:pStyle w:val="CoverMain"/>
        <w:tabs>
          <w:tab w:val="clear" w:pos="0"/>
        </w:tabs>
      </w:pPr>
      <w:r>
        <w:t>IN THE HIGH COURT OF JUSTICE</w:t>
      </w:r>
    </w:p>
    <w:p w14:paraId="2D8C7ED7" w14:textId="78F950E3" w:rsidR="00A713C5" w:rsidRDefault="000B6C91" w:rsidP="00A713C5">
      <w:pPr>
        <w:suppressAutoHyphens/>
        <w:rPr>
          <w:b/>
          <w:spacing w:val="-3"/>
          <w:u w:val="single"/>
        </w:rPr>
      </w:pPr>
      <w:r>
        <w:rPr>
          <w:b/>
          <w:spacing w:val="-3"/>
          <w:u w:val="single"/>
        </w:rPr>
        <w:t>KING</w:t>
      </w:r>
      <w:r w:rsidR="00A713C5">
        <w:rPr>
          <w:b/>
          <w:spacing w:val="-3"/>
          <w:u w:val="single"/>
        </w:rPr>
        <w:t>'S BENCH DIVISION</w:t>
      </w:r>
    </w:p>
    <w:p w14:paraId="01EABC4D" w14:textId="60101C14" w:rsidR="00A713C5" w:rsidRDefault="00CB7F64" w:rsidP="00A713C5">
      <w:pPr>
        <w:suppressAutoHyphens/>
        <w:rPr>
          <w:b/>
          <w:spacing w:val="-3"/>
          <w:u w:val="single"/>
        </w:rPr>
      </w:pPr>
      <w:r>
        <w:rPr>
          <w:b/>
          <w:spacing w:val="-3"/>
          <w:u w:val="single"/>
        </w:rPr>
        <w:t>A</w:t>
      </w:r>
      <w:r w:rsidR="00E55961">
        <w:rPr>
          <w:b/>
          <w:spacing w:val="-3"/>
          <w:u w:val="single"/>
        </w:rPr>
        <w:t xml:space="preserve">DMINISTRATIVE COURT </w:t>
      </w:r>
    </w:p>
    <w:p w14:paraId="4ACD0268" w14:textId="3D1C9E89" w:rsidR="00A713C5" w:rsidRDefault="00A03909" w:rsidP="00184CE7">
      <w:pPr>
        <w:suppressAutoHyphens/>
        <w:rPr>
          <w:b/>
          <w:spacing w:val="-3"/>
          <w:u w:val="single"/>
        </w:rPr>
      </w:pPr>
      <w:r>
        <w:rPr>
          <w:b/>
          <w:spacing w:val="-3"/>
          <w:u w:val="single"/>
        </w:rPr>
        <w:t>SITTING IN LEEDS</w:t>
      </w:r>
    </w:p>
    <w:p w14:paraId="2EC67CED" w14:textId="77777777" w:rsidR="000B6463" w:rsidRDefault="000B6463" w:rsidP="00184CE7">
      <w:pPr>
        <w:suppressAutoHyphens/>
        <w:rPr>
          <w:b/>
          <w:spacing w:val="-3"/>
          <w:u w:val="single"/>
        </w:rPr>
      </w:pPr>
    </w:p>
    <w:p w14:paraId="044324A9" w14:textId="77777777" w:rsidR="003A4881" w:rsidRDefault="003A4881" w:rsidP="00184CE7">
      <w:pPr>
        <w:suppressAutoHyphens/>
        <w:rPr>
          <w:b/>
          <w:spacing w:val="-3"/>
          <w:u w:val="single"/>
        </w:rPr>
      </w:pPr>
    </w:p>
    <w:p w14:paraId="617022BA" w14:textId="77777777" w:rsidR="003A4881" w:rsidRPr="00184CE7" w:rsidRDefault="003A4881" w:rsidP="00184CE7">
      <w:pPr>
        <w:suppressAutoHyphens/>
        <w:rPr>
          <w:b/>
          <w:spacing w:val="-3"/>
          <w:u w:val="single"/>
        </w:rPr>
      </w:pPr>
    </w:p>
    <w:p w14:paraId="7F6C6793" w14:textId="5334102F" w:rsidR="000C581F" w:rsidRPr="006A1361" w:rsidRDefault="004A2333" w:rsidP="006A1361">
      <w:pPr>
        <w:pStyle w:val="CoverText"/>
      </w:pPr>
      <w:r>
        <w:t>Thursday, 6</w:t>
      </w:r>
      <w:r w:rsidRPr="004A2333">
        <w:rPr>
          <w:vertAlign w:val="superscript"/>
        </w:rPr>
        <w:t>th</w:t>
      </w:r>
      <w:r>
        <w:t xml:space="preserve"> June </w:t>
      </w:r>
      <w:r w:rsidR="00A03909" w:rsidRPr="00A03909">
        <w:t>2024</w:t>
      </w:r>
    </w:p>
    <w:p w14:paraId="621A14B3" w14:textId="22B0C64B" w:rsidR="00A713C5" w:rsidRDefault="00A713C5" w:rsidP="005E4E2D">
      <w:pPr>
        <w:suppressAutoHyphens/>
        <w:jc w:val="center"/>
        <w:rPr>
          <w:spacing w:val="-3"/>
        </w:rPr>
      </w:pPr>
      <w:r>
        <w:rPr>
          <w:b/>
          <w:spacing w:val="-3"/>
        </w:rPr>
        <w:t>Before</w:t>
      </w:r>
      <w:r>
        <w:rPr>
          <w:spacing w:val="-3"/>
        </w:rPr>
        <w:t>:</w:t>
      </w:r>
    </w:p>
    <w:p w14:paraId="1D990134" w14:textId="0233956D" w:rsidR="00A713C5" w:rsidRDefault="00A713C5" w:rsidP="00A713C5">
      <w:pPr>
        <w:pStyle w:val="CoverMain"/>
        <w:tabs>
          <w:tab w:val="clear" w:pos="0"/>
        </w:tabs>
        <w:jc w:val="center"/>
      </w:pPr>
      <w:r>
        <w:t xml:space="preserve"> FORDHAM</w:t>
      </w:r>
      <w:r w:rsidR="002F6A8D">
        <w:t xml:space="preserve"> J </w:t>
      </w:r>
    </w:p>
    <w:p w14:paraId="11CFEA21" w14:textId="77777777" w:rsidR="00A713C5" w:rsidRDefault="00A713C5" w:rsidP="00A713C5">
      <w:pPr>
        <w:suppressAutoHyphens/>
        <w:jc w:val="center"/>
        <w:rPr>
          <w:spacing w:val="-3"/>
        </w:rPr>
      </w:pPr>
      <w:r>
        <w:rPr>
          <w:spacing w:val="-3"/>
        </w:rPr>
        <w:t>- - - - - - - - - - - - - - - - - - - - -</w:t>
      </w:r>
    </w:p>
    <w:p w14:paraId="244DAC24" w14:textId="65631DD7" w:rsidR="00A713C5" w:rsidRDefault="00A713C5" w:rsidP="005E4E2D">
      <w:pPr>
        <w:suppressAutoHyphens/>
        <w:jc w:val="center"/>
        <w:rPr>
          <w:b/>
          <w:spacing w:val="-3"/>
        </w:rPr>
      </w:pPr>
      <w:r>
        <w:rPr>
          <w:b/>
          <w:spacing w:val="-3"/>
        </w:rPr>
        <w:t>Between:</w:t>
      </w:r>
    </w:p>
    <w:tbl>
      <w:tblPr>
        <w:tblW w:w="9120" w:type="dxa"/>
        <w:jc w:val="center"/>
        <w:tblLayout w:type="fixed"/>
        <w:tblLook w:val="04A0" w:firstRow="1" w:lastRow="0" w:firstColumn="1" w:lastColumn="0" w:noHBand="0" w:noVBand="1"/>
      </w:tblPr>
      <w:tblGrid>
        <w:gridCol w:w="1775"/>
        <w:gridCol w:w="5564"/>
        <w:gridCol w:w="1781"/>
      </w:tblGrid>
      <w:tr w:rsidR="00A713C5" w14:paraId="68C25342" w14:textId="77777777" w:rsidTr="00A713C5">
        <w:trPr>
          <w:jc w:val="center"/>
        </w:trPr>
        <w:tc>
          <w:tcPr>
            <w:tcW w:w="1701" w:type="dxa"/>
          </w:tcPr>
          <w:p w14:paraId="52D1AC88" w14:textId="77777777" w:rsidR="00A713C5" w:rsidRDefault="00A713C5">
            <w:pPr>
              <w:suppressAutoHyphens/>
              <w:rPr>
                <w:b/>
                <w:spacing w:val="-3"/>
              </w:rPr>
            </w:pPr>
          </w:p>
        </w:tc>
        <w:tc>
          <w:tcPr>
            <w:tcW w:w="5333" w:type="dxa"/>
            <w:hideMark/>
          </w:tcPr>
          <w:p w14:paraId="767659EE" w14:textId="77777777" w:rsidR="00184CE7" w:rsidRDefault="00A03909">
            <w:pPr>
              <w:suppressAutoHyphens/>
              <w:jc w:val="center"/>
              <w:rPr>
                <w:rFonts w:cs="Arial"/>
                <w:b/>
              </w:rPr>
            </w:pPr>
            <w:r>
              <w:rPr>
                <w:rFonts w:cs="Arial"/>
                <w:b/>
              </w:rPr>
              <w:t>THE KING (on the application of</w:t>
            </w:r>
          </w:p>
          <w:p w14:paraId="50D4B3DF" w14:textId="6531372C" w:rsidR="00A713C5" w:rsidRPr="00610143" w:rsidRDefault="00A03909">
            <w:pPr>
              <w:suppressAutoHyphens/>
              <w:jc w:val="center"/>
              <w:rPr>
                <w:b/>
                <w:spacing w:val="-3"/>
              </w:rPr>
            </w:pPr>
            <w:r>
              <w:rPr>
                <w:rFonts w:cs="Arial"/>
                <w:b/>
              </w:rPr>
              <w:t>CARE NORTH EAST</w:t>
            </w:r>
            <w:r w:rsidR="00FB5369">
              <w:rPr>
                <w:rFonts w:cs="Arial"/>
                <w:b/>
              </w:rPr>
              <w:t xml:space="preserve"> NORTHUMBERLAND</w:t>
            </w:r>
            <w:r>
              <w:rPr>
                <w:rFonts w:cs="Arial"/>
                <w:b/>
              </w:rPr>
              <w:t>)</w:t>
            </w:r>
          </w:p>
        </w:tc>
        <w:tc>
          <w:tcPr>
            <w:tcW w:w="1707" w:type="dxa"/>
            <w:hideMark/>
          </w:tcPr>
          <w:p w14:paraId="2A3C310B" w14:textId="77777777" w:rsidR="003F18DC" w:rsidRDefault="003F18DC">
            <w:pPr>
              <w:pStyle w:val="CoverMain"/>
              <w:tabs>
                <w:tab w:val="clear" w:pos="0"/>
              </w:tabs>
              <w:jc w:val="right"/>
            </w:pPr>
          </w:p>
          <w:p w14:paraId="0B056362" w14:textId="2409E252" w:rsidR="00A713C5" w:rsidRDefault="00A03909">
            <w:pPr>
              <w:pStyle w:val="CoverMain"/>
              <w:tabs>
                <w:tab w:val="clear" w:pos="0"/>
              </w:tabs>
              <w:jc w:val="right"/>
            </w:pPr>
            <w:r>
              <w:t>Claimant</w:t>
            </w:r>
          </w:p>
        </w:tc>
      </w:tr>
      <w:tr w:rsidR="00A713C5" w14:paraId="2A916D74" w14:textId="77777777" w:rsidTr="00A713C5">
        <w:trPr>
          <w:jc w:val="center"/>
        </w:trPr>
        <w:tc>
          <w:tcPr>
            <w:tcW w:w="1701" w:type="dxa"/>
          </w:tcPr>
          <w:p w14:paraId="0200EEB6" w14:textId="77777777" w:rsidR="00A713C5" w:rsidRDefault="00A713C5">
            <w:pPr>
              <w:suppressAutoHyphens/>
              <w:rPr>
                <w:b/>
                <w:spacing w:val="-3"/>
              </w:rPr>
            </w:pPr>
          </w:p>
        </w:tc>
        <w:tc>
          <w:tcPr>
            <w:tcW w:w="5333" w:type="dxa"/>
            <w:hideMark/>
          </w:tcPr>
          <w:p w14:paraId="78D26686" w14:textId="77777777" w:rsidR="00A713C5" w:rsidRDefault="00A713C5">
            <w:pPr>
              <w:suppressAutoHyphens/>
              <w:jc w:val="center"/>
              <w:rPr>
                <w:b/>
                <w:spacing w:val="-3"/>
              </w:rPr>
            </w:pPr>
            <w:r>
              <w:rPr>
                <w:b/>
                <w:spacing w:val="-3"/>
              </w:rPr>
              <w:t>- and -</w:t>
            </w:r>
          </w:p>
        </w:tc>
        <w:tc>
          <w:tcPr>
            <w:tcW w:w="1707" w:type="dxa"/>
          </w:tcPr>
          <w:p w14:paraId="3AB41B8B" w14:textId="77777777" w:rsidR="00A713C5" w:rsidRDefault="00A713C5">
            <w:pPr>
              <w:pStyle w:val="CoverMain"/>
              <w:tabs>
                <w:tab w:val="clear" w:pos="0"/>
              </w:tabs>
              <w:jc w:val="right"/>
            </w:pPr>
          </w:p>
        </w:tc>
      </w:tr>
      <w:tr w:rsidR="00A713C5" w14:paraId="5316E1AE" w14:textId="77777777" w:rsidTr="00A713C5">
        <w:trPr>
          <w:jc w:val="center"/>
        </w:trPr>
        <w:tc>
          <w:tcPr>
            <w:tcW w:w="1701" w:type="dxa"/>
          </w:tcPr>
          <w:p w14:paraId="2820B955" w14:textId="77777777" w:rsidR="00A713C5" w:rsidRDefault="00A713C5">
            <w:pPr>
              <w:suppressAutoHyphens/>
              <w:rPr>
                <w:b/>
                <w:spacing w:val="-3"/>
              </w:rPr>
            </w:pPr>
          </w:p>
        </w:tc>
        <w:tc>
          <w:tcPr>
            <w:tcW w:w="5333" w:type="dxa"/>
            <w:hideMark/>
          </w:tcPr>
          <w:p w14:paraId="0A72C295" w14:textId="44753890" w:rsidR="00087E2C" w:rsidRPr="00EB7F4F" w:rsidRDefault="00A03909">
            <w:pPr>
              <w:suppressAutoHyphens/>
              <w:jc w:val="center"/>
              <w:rPr>
                <w:b/>
                <w:spacing w:val="-3"/>
              </w:rPr>
            </w:pPr>
            <w:r>
              <w:rPr>
                <w:b/>
                <w:spacing w:val="-3"/>
              </w:rPr>
              <w:t>NO</w:t>
            </w:r>
            <w:r w:rsidR="005E4E2D">
              <w:rPr>
                <w:b/>
                <w:spacing w:val="-3"/>
              </w:rPr>
              <w:t>RTHUMBER</w:t>
            </w:r>
            <w:r>
              <w:rPr>
                <w:b/>
                <w:spacing w:val="-3"/>
              </w:rPr>
              <w:t>LAND COUNTY COUNCIL</w:t>
            </w:r>
          </w:p>
        </w:tc>
        <w:tc>
          <w:tcPr>
            <w:tcW w:w="1707" w:type="dxa"/>
            <w:hideMark/>
          </w:tcPr>
          <w:p w14:paraId="6F9F734A" w14:textId="2B804E2D" w:rsidR="00A713C5" w:rsidRDefault="00A03909">
            <w:pPr>
              <w:pStyle w:val="CoverMain"/>
              <w:tabs>
                <w:tab w:val="clear" w:pos="0"/>
              </w:tabs>
              <w:jc w:val="right"/>
            </w:pPr>
            <w:r>
              <w:t>Defendant</w:t>
            </w:r>
          </w:p>
        </w:tc>
      </w:tr>
    </w:tbl>
    <w:p w14:paraId="425FE4C5" w14:textId="77777777" w:rsidR="00A713C5" w:rsidRDefault="00A713C5" w:rsidP="00A713C5">
      <w:pPr>
        <w:suppressAutoHyphens/>
        <w:jc w:val="center"/>
        <w:rPr>
          <w:spacing w:val="-3"/>
        </w:rPr>
      </w:pPr>
      <w:r>
        <w:rPr>
          <w:spacing w:val="-3"/>
        </w:rPr>
        <w:t>- - - - - - - - - - - - - - - - - - - - -</w:t>
      </w:r>
    </w:p>
    <w:p w14:paraId="73D835A7" w14:textId="77777777" w:rsidR="00A713C5" w:rsidRDefault="00A713C5" w:rsidP="00A713C5">
      <w:pPr>
        <w:suppressAutoHyphens/>
        <w:jc w:val="center"/>
        <w:rPr>
          <w:spacing w:val="-3"/>
        </w:rPr>
      </w:pPr>
      <w:r>
        <w:rPr>
          <w:spacing w:val="-3"/>
        </w:rPr>
        <w:t>- - - - - - - - - - - - - - - - - - - - -</w:t>
      </w:r>
    </w:p>
    <w:p w14:paraId="37611A40" w14:textId="369D30BC" w:rsidR="00A713C5" w:rsidRDefault="00A03909" w:rsidP="00A713C5">
      <w:pPr>
        <w:suppressAutoHyphens/>
        <w:jc w:val="center"/>
        <w:rPr>
          <w:b/>
          <w:bCs/>
          <w:spacing w:val="-3"/>
        </w:rPr>
      </w:pPr>
      <w:r>
        <w:rPr>
          <w:b/>
          <w:bCs/>
          <w:spacing w:val="-3"/>
        </w:rPr>
        <w:t xml:space="preserve">Chris Buttler KC </w:t>
      </w:r>
      <w:r w:rsidR="00F71EC5">
        <w:rPr>
          <w:bCs/>
          <w:spacing w:val="-3"/>
        </w:rPr>
        <w:t>(instructed by</w:t>
      </w:r>
      <w:r w:rsidR="00C57CFE">
        <w:rPr>
          <w:bCs/>
          <w:spacing w:val="-3"/>
        </w:rPr>
        <w:t xml:space="preserve"> </w:t>
      </w:r>
      <w:r w:rsidR="00A85D7B">
        <w:rPr>
          <w:bCs/>
          <w:spacing w:val="-3"/>
        </w:rPr>
        <w:t>David Collins Solicitors</w:t>
      </w:r>
      <w:r w:rsidR="00F71EC5">
        <w:rPr>
          <w:bCs/>
          <w:spacing w:val="-3"/>
        </w:rPr>
        <w:t xml:space="preserve">) </w:t>
      </w:r>
      <w:r w:rsidR="00A713C5">
        <w:rPr>
          <w:bCs/>
          <w:spacing w:val="-3"/>
        </w:rPr>
        <w:t>for the</w:t>
      </w:r>
      <w:r w:rsidR="00A713C5">
        <w:rPr>
          <w:spacing w:val="-3"/>
        </w:rPr>
        <w:t xml:space="preserve"> </w:t>
      </w:r>
      <w:r w:rsidRPr="00A03909">
        <w:rPr>
          <w:b/>
          <w:bCs/>
          <w:spacing w:val="-3"/>
        </w:rPr>
        <w:t>Claimant</w:t>
      </w:r>
    </w:p>
    <w:p w14:paraId="6CB651CE" w14:textId="77777777" w:rsidR="006A1361" w:rsidRDefault="00A03909" w:rsidP="00A03909">
      <w:pPr>
        <w:suppressAutoHyphens/>
        <w:jc w:val="center"/>
        <w:rPr>
          <w:spacing w:val="-3"/>
        </w:rPr>
      </w:pPr>
      <w:r>
        <w:rPr>
          <w:b/>
          <w:bCs/>
          <w:spacing w:val="-3"/>
        </w:rPr>
        <w:t>Joanne Clement</w:t>
      </w:r>
      <w:r w:rsidR="009872B6">
        <w:rPr>
          <w:b/>
          <w:bCs/>
          <w:spacing w:val="-3"/>
        </w:rPr>
        <w:t xml:space="preserve"> KC</w:t>
      </w:r>
      <w:r w:rsidR="004964EF" w:rsidRPr="00DD6EB9">
        <w:rPr>
          <w:spacing w:val="-3"/>
        </w:rPr>
        <w:t xml:space="preserve"> and</w:t>
      </w:r>
      <w:r w:rsidR="004964EF">
        <w:rPr>
          <w:b/>
          <w:bCs/>
          <w:spacing w:val="-3"/>
        </w:rPr>
        <w:t xml:space="preserve"> Aliya</w:t>
      </w:r>
      <w:r w:rsidR="00DD6EB9">
        <w:rPr>
          <w:b/>
          <w:bCs/>
          <w:spacing w:val="-3"/>
        </w:rPr>
        <w:t xml:space="preserve"> Al-Yassin</w:t>
      </w:r>
      <w:r w:rsidR="006A1361">
        <w:rPr>
          <w:b/>
          <w:bCs/>
          <w:spacing w:val="-3"/>
        </w:rPr>
        <w:t xml:space="preserve"> </w:t>
      </w:r>
      <w:r w:rsidR="00FA6A77">
        <w:rPr>
          <w:spacing w:val="-3"/>
        </w:rPr>
        <w:t>(instructed by</w:t>
      </w:r>
    </w:p>
    <w:p w14:paraId="37E597BD" w14:textId="7028EA6D" w:rsidR="00AA4E31" w:rsidRPr="00A03909" w:rsidRDefault="009872B6" w:rsidP="00A03909">
      <w:pPr>
        <w:suppressAutoHyphens/>
        <w:jc w:val="center"/>
        <w:rPr>
          <w:b/>
          <w:bCs/>
          <w:spacing w:val="-3"/>
        </w:rPr>
      </w:pPr>
      <w:r>
        <w:rPr>
          <w:spacing w:val="-3"/>
        </w:rPr>
        <w:t>Northumberland County Council</w:t>
      </w:r>
      <w:r w:rsidR="00F21BB8">
        <w:rPr>
          <w:spacing w:val="-3"/>
        </w:rPr>
        <w:t xml:space="preserve">) for the </w:t>
      </w:r>
      <w:r w:rsidR="00A03909">
        <w:rPr>
          <w:b/>
          <w:bCs/>
          <w:spacing w:val="-3"/>
        </w:rPr>
        <w:t>Defendant</w:t>
      </w:r>
    </w:p>
    <w:p w14:paraId="596F3214" w14:textId="77777777" w:rsidR="00687F3E" w:rsidRDefault="00687F3E" w:rsidP="00687F3E">
      <w:pPr>
        <w:suppressAutoHyphens/>
        <w:jc w:val="center"/>
        <w:rPr>
          <w:spacing w:val="-3"/>
        </w:rPr>
      </w:pPr>
      <w:r>
        <w:rPr>
          <w:spacing w:val="-3"/>
        </w:rPr>
        <w:t>- - - - - - - - - - - - - - - - - - - - -</w:t>
      </w:r>
    </w:p>
    <w:p w14:paraId="3CCE5739" w14:textId="318AB1E9" w:rsidR="004964EF" w:rsidRDefault="00A713C5" w:rsidP="00057848">
      <w:pPr>
        <w:suppressAutoHyphens/>
        <w:jc w:val="center"/>
        <w:rPr>
          <w:spacing w:val="-3"/>
        </w:rPr>
      </w:pPr>
      <w:r>
        <w:rPr>
          <w:spacing w:val="-3"/>
        </w:rPr>
        <w:t>Hearing date</w:t>
      </w:r>
      <w:r w:rsidR="004964EF">
        <w:rPr>
          <w:spacing w:val="-3"/>
        </w:rPr>
        <w:t>s</w:t>
      </w:r>
      <w:r w:rsidR="006D68EC">
        <w:rPr>
          <w:spacing w:val="-3"/>
        </w:rPr>
        <w:t xml:space="preserve">: </w:t>
      </w:r>
      <w:r w:rsidR="004964EF">
        <w:rPr>
          <w:spacing w:val="-3"/>
        </w:rPr>
        <w:t>17.4.24, 18.4.24, 3.5.24</w:t>
      </w:r>
    </w:p>
    <w:p w14:paraId="436F2AF5" w14:textId="10FC380F" w:rsidR="00C162B1" w:rsidRPr="004964EF" w:rsidRDefault="00C162B1" w:rsidP="00057848">
      <w:pPr>
        <w:suppressAutoHyphens/>
        <w:jc w:val="center"/>
        <w:rPr>
          <w:spacing w:val="-3"/>
        </w:rPr>
      </w:pPr>
      <w:r>
        <w:rPr>
          <w:spacing w:val="-3"/>
        </w:rPr>
        <w:t xml:space="preserve">Draft judgment: </w:t>
      </w:r>
      <w:r w:rsidR="004A2333">
        <w:rPr>
          <w:spacing w:val="-3"/>
        </w:rPr>
        <w:t>23.5.24</w:t>
      </w:r>
    </w:p>
    <w:p w14:paraId="1890BB44" w14:textId="77777777" w:rsidR="003D4828" w:rsidRDefault="003D4828" w:rsidP="003D4828">
      <w:pPr>
        <w:suppressAutoHyphens/>
        <w:jc w:val="center"/>
        <w:rPr>
          <w:spacing w:val="-3"/>
        </w:rPr>
      </w:pPr>
      <w:r>
        <w:rPr>
          <w:spacing w:val="-3"/>
        </w:rPr>
        <w:t>- - - - - - - - - - - - - - - - - - - - -</w:t>
      </w:r>
    </w:p>
    <w:p w14:paraId="0869A23C" w14:textId="77777777" w:rsidR="00DC4E77" w:rsidRDefault="00DC4E77" w:rsidP="003D4828">
      <w:pPr>
        <w:pStyle w:val="CoverDesc"/>
      </w:pPr>
    </w:p>
    <w:p w14:paraId="036CEA7C" w14:textId="5CB0DF0B" w:rsidR="003D4828" w:rsidRDefault="00EE62F6" w:rsidP="003D4828">
      <w:pPr>
        <w:pStyle w:val="CoverDesc"/>
      </w:pPr>
      <w:r>
        <w:t>Approved</w:t>
      </w:r>
      <w:r w:rsidR="003D4828" w:rsidRPr="00DD6EB9">
        <w:t xml:space="preserve"> Judgment</w:t>
      </w:r>
    </w:p>
    <w:p w14:paraId="046C552B" w14:textId="0FB35051" w:rsidR="003D4828" w:rsidRDefault="003D4828" w:rsidP="003D4828">
      <w:pPr>
        <w:jc w:val="center"/>
      </w:pPr>
    </w:p>
    <w:p w14:paraId="4B0BF5FD" w14:textId="77777777" w:rsidR="003D4828" w:rsidRDefault="003D4828" w:rsidP="003D4828">
      <w:pPr>
        <w:jc w:val="center"/>
      </w:pPr>
    </w:p>
    <w:p w14:paraId="24E8BA90" w14:textId="40E03929" w:rsidR="003D4828" w:rsidRDefault="006B544D" w:rsidP="003D4828">
      <w:pPr>
        <w:jc w:val="center"/>
      </w:pPr>
      <w:r>
        <w:rPr>
          <w:noProof/>
        </w:rPr>
        <w:drawing>
          <wp:inline distT="0" distB="0" distL="0" distR="0" wp14:anchorId="74FDBCA6" wp14:editId="1D83C712">
            <wp:extent cx="1000125" cy="613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8315" cy="649173"/>
                    </a:xfrm>
                    <a:prstGeom prst="rect">
                      <a:avLst/>
                    </a:prstGeom>
                    <a:noFill/>
                    <a:ln>
                      <a:noFill/>
                    </a:ln>
                  </pic:spPr>
                </pic:pic>
              </a:graphicData>
            </a:graphic>
          </wp:inline>
        </w:drawing>
      </w:r>
    </w:p>
    <w:p w14:paraId="39A456BD" w14:textId="77777777" w:rsidR="00687F3E" w:rsidRDefault="00687F3E" w:rsidP="00687F3E">
      <w:pPr>
        <w:suppressAutoHyphens/>
        <w:jc w:val="center"/>
        <w:rPr>
          <w:spacing w:val="-3"/>
        </w:rPr>
      </w:pPr>
      <w:r>
        <w:rPr>
          <w:spacing w:val="-3"/>
        </w:rPr>
        <w:t>- - - - - - - - - - - - - - - - - - - - -</w:t>
      </w:r>
    </w:p>
    <w:p w14:paraId="1FB0867F" w14:textId="77777777" w:rsidR="003D4828" w:rsidRDefault="003D4828" w:rsidP="003D4828">
      <w:pPr>
        <w:jc w:val="center"/>
      </w:pPr>
    </w:p>
    <w:p w14:paraId="522477C6" w14:textId="74B5B49F" w:rsidR="003D4828" w:rsidRDefault="00A90BEC" w:rsidP="003D4828">
      <w:pPr>
        <w:jc w:val="center"/>
      </w:pPr>
      <w:r>
        <w:t>FORDHAM</w:t>
      </w:r>
      <w:r w:rsidR="002F6A8D">
        <w:t xml:space="preserve"> J </w:t>
      </w:r>
    </w:p>
    <w:p w14:paraId="23A92C5D" w14:textId="2C17B6F1" w:rsidR="00A90BEC" w:rsidRDefault="00A90BEC" w:rsidP="003D4828">
      <w:pPr>
        <w:jc w:val="center"/>
      </w:pPr>
    </w:p>
    <w:p w14:paraId="3B2429FD" w14:textId="77777777" w:rsidR="003D4828" w:rsidRDefault="003D4828" w:rsidP="003D4828">
      <w:pPr>
        <w:sectPr w:rsidR="003D4828" w:rsidSect="00977816">
          <w:footerReference w:type="default" r:id="rId12"/>
          <w:pgSz w:w="11909" w:h="16834" w:code="9"/>
          <w:pgMar w:top="720" w:right="1440" w:bottom="720" w:left="1440" w:header="720" w:footer="720" w:gutter="0"/>
          <w:pgNumType w:start="1"/>
          <w:cols w:space="720"/>
        </w:sectPr>
      </w:pPr>
    </w:p>
    <w:p w14:paraId="1A957D75" w14:textId="0DA9270D" w:rsidR="003B3672" w:rsidRPr="00AF3D43" w:rsidRDefault="00A713C5" w:rsidP="00AF3D43">
      <w:pPr>
        <w:spacing w:after="240"/>
      </w:pPr>
      <w:r>
        <w:rPr>
          <w:b/>
        </w:rPr>
        <w:lastRenderedPageBreak/>
        <w:t>FORDHAM</w:t>
      </w:r>
      <w:r w:rsidR="003D60DB">
        <w:rPr>
          <w:b/>
        </w:rPr>
        <w:t xml:space="preserve"> J</w:t>
      </w:r>
      <w:r>
        <w:rPr>
          <w:b/>
        </w:rPr>
        <w:t>:</w:t>
      </w:r>
    </w:p>
    <w:p w14:paraId="777AF809" w14:textId="0CA20A8D" w:rsidR="008B5DDE" w:rsidRPr="008B5DDE" w:rsidRDefault="00D0033C" w:rsidP="008B5DDE">
      <w:pPr>
        <w:pStyle w:val="ParaLevel1"/>
        <w:numPr>
          <w:ilvl w:val="0"/>
          <w:numId w:val="0"/>
        </w:numPr>
        <w:ind w:left="720" w:hanging="720"/>
        <w:rPr>
          <w:u w:val="single"/>
        </w:rPr>
      </w:pPr>
      <w:r>
        <w:rPr>
          <w:u w:val="single"/>
        </w:rPr>
        <w:t>INTRODUCTION</w:t>
      </w:r>
    </w:p>
    <w:p w14:paraId="64D3D7B4" w14:textId="38F0775A" w:rsidR="000B45F6" w:rsidRDefault="005B4E8B" w:rsidP="00F46B52">
      <w:pPr>
        <w:pStyle w:val="ParaLevel1"/>
        <w:tabs>
          <w:tab w:val="clear" w:pos="720"/>
          <w:tab w:val="left" w:pos="567"/>
        </w:tabs>
        <w:ind w:left="567" w:hanging="567"/>
      </w:pPr>
      <w:r w:rsidRPr="00776616">
        <w:t>This case</w:t>
      </w:r>
      <w:r w:rsidR="00210F9D" w:rsidRPr="00776616">
        <w:t xml:space="preserve"> is about weekly fees paid by a local authority</w:t>
      </w:r>
      <w:r w:rsidR="003A6A0D" w:rsidRPr="00776616">
        <w:t xml:space="preserve"> to care home operators</w:t>
      </w:r>
      <w:r w:rsidR="00731775" w:rsidRPr="00776616">
        <w:t xml:space="preserve">. </w:t>
      </w:r>
      <w:r w:rsidR="000B5F83">
        <w:t xml:space="preserve">The Claimant is an unincorporated association of whom 24 of Northumberland’s 70 care home operators are members. </w:t>
      </w:r>
      <w:r w:rsidR="00360A29">
        <w:t>The case features</w:t>
      </w:r>
      <w:r w:rsidR="00C162B1">
        <w:t xml:space="preserve"> the</w:t>
      </w:r>
      <w:r w:rsidR="00731775" w:rsidRPr="00776616">
        <w:t xml:space="preserve"> interrelationship</w:t>
      </w:r>
      <w:r w:rsidR="00812B04" w:rsidRPr="00776616">
        <w:t xml:space="preserve"> between</w:t>
      </w:r>
      <w:r w:rsidR="00C162B1">
        <w:t xml:space="preserve"> the following</w:t>
      </w:r>
      <w:r w:rsidR="00FF219F">
        <w:t>:</w:t>
      </w:r>
      <w:r w:rsidR="00812B04" w:rsidRPr="00776616">
        <w:t xml:space="preserve"> </w:t>
      </w:r>
      <w:r w:rsidR="00731D2F">
        <w:t xml:space="preserve">(1) </w:t>
      </w:r>
      <w:r w:rsidR="00C162B1">
        <w:t xml:space="preserve">a local authority’s general </w:t>
      </w:r>
      <w:r w:rsidR="00812B04" w:rsidRPr="00776616">
        <w:t xml:space="preserve">statutory </w:t>
      </w:r>
      <w:r w:rsidR="00CB7396" w:rsidRPr="00776616">
        <w:t>dut</w:t>
      </w:r>
      <w:r w:rsidR="00B852A6">
        <w:t>y</w:t>
      </w:r>
      <w:r w:rsidR="00CB7396" w:rsidRPr="00776616">
        <w:t xml:space="preserve"> of promoting diversity and quality in the </w:t>
      </w:r>
      <w:r w:rsidR="00CB7396">
        <w:t>provision of services</w:t>
      </w:r>
      <w:r w:rsidR="00570035">
        <w:t xml:space="preserve"> (Care Act 2014 s</w:t>
      </w:r>
      <w:r w:rsidR="00B852A6">
        <w:t>.</w:t>
      </w:r>
      <w:r w:rsidR="00570035">
        <w:t>5</w:t>
      </w:r>
      <w:r w:rsidR="00B852A6">
        <w:t>)</w:t>
      </w:r>
      <w:r w:rsidR="00C162B1">
        <w:t xml:space="preserve"> and applicable S</w:t>
      </w:r>
      <w:r w:rsidR="00B852A6">
        <w:t xml:space="preserve">tatutory </w:t>
      </w:r>
      <w:r w:rsidR="00C162B1">
        <w:t>G</w:t>
      </w:r>
      <w:r w:rsidR="00B852A6">
        <w:t>uidance</w:t>
      </w:r>
      <w:r w:rsidR="00EA5B3D">
        <w:t xml:space="preserve"> </w:t>
      </w:r>
      <w:r w:rsidR="00613D11">
        <w:t>(</w:t>
      </w:r>
      <w:r w:rsidR="00F85658">
        <w:t xml:space="preserve">2014 Act </w:t>
      </w:r>
      <w:r w:rsidR="00613D11">
        <w:t>s.78); (</w:t>
      </w:r>
      <w:r w:rsidR="00C162B1">
        <w:t>2</w:t>
      </w:r>
      <w:r w:rsidR="00613D11">
        <w:t>)</w:t>
      </w:r>
      <w:r w:rsidR="002A0CFF">
        <w:t xml:space="preserve"> </w:t>
      </w:r>
      <w:r w:rsidR="00C162B1">
        <w:t>central Government’s</w:t>
      </w:r>
      <w:r w:rsidR="00097833">
        <w:t xml:space="preserve"> statutory power </w:t>
      </w:r>
      <w:r w:rsidR="00032B9F">
        <w:t xml:space="preserve">to pay conditional </w:t>
      </w:r>
      <w:r w:rsidR="00C162B1">
        <w:t xml:space="preserve">local authority </w:t>
      </w:r>
      <w:r w:rsidR="00032B9F">
        <w:t>grants (</w:t>
      </w:r>
      <w:r w:rsidR="00EA5B3D">
        <w:t>Local Government Act 2003 s</w:t>
      </w:r>
      <w:r w:rsidR="00032B9F">
        <w:t>.</w:t>
      </w:r>
      <w:r w:rsidR="00EA5B3D">
        <w:t>31)</w:t>
      </w:r>
      <w:r w:rsidR="00C162B1">
        <w:t xml:space="preserve"> and </w:t>
      </w:r>
      <w:r w:rsidR="007144FD">
        <w:t xml:space="preserve">Government documents </w:t>
      </w:r>
      <w:r w:rsidR="00C162B1">
        <w:t>relating to</w:t>
      </w:r>
      <w:r w:rsidR="00EA5B3D">
        <w:t xml:space="preserve"> </w:t>
      </w:r>
      <w:r w:rsidR="00120E81">
        <w:t>two such grants; (</w:t>
      </w:r>
      <w:r w:rsidR="00C162B1">
        <w:t>3</w:t>
      </w:r>
      <w:r w:rsidR="00120E81">
        <w:t xml:space="preserve">) </w:t>
      </w:r>
      <w:r w:rsidR="00125E30">
        <w:t>provisions</w:t>
      </w:r>
      <w:r w:rsidR="00C86220">
        <w:t xml:space="preserve"> </w:t>
      </w:r>
      <w:r w:rsidR="00C162B1">
        <w:t>with</w:t>
      </w:r>
      <w:r w:rsidR="00613D11">
        <w:t>in a</w:t>
      </w:r>
      <w:r w:rsidR="00E90556">
        <w:t>n</w:t>
      </w:r>
      <w:r w:rsidR="00613D11">
        <w:t xml:space="preserve"> </w:t>
      </w:r>
      <w:r w:rsidR="0029612C">
        <w:t>a</w:t>
      </w:r>
      <w:r w:rsidR="00613D11">
        <w:t>greement</w:t>
      </w:r>
      <w:r w:rsidR="0029612C">
        <w:t xml:space="preserve"> (“the 2021 Agreement</w:t>
      </w:r>
      <w:r w:rsidR="00613D11">
        <w:t>”</w:t>
      </w:r>
      <w:r w:rsidR="0029612C">
        <w:t>)</w:t>
      </w:r>
      <w:r w:rsidR="000F62B2">
        <w:t xml:space="preserve"> between a local authority and a care home operator</w:t>
      </w:r>
      <w:r w:rsidR="00EA5B3D">
        <w:t>; and (</w:t>
      </w:r>
      <w:r w:rsidR="00C162B1">
        <w:t>4</w:t>
      </w:r>
      <w:r w:rsidR="00EA5B3D">
        <w:t xml:space="preserve">) </w:t>
      </w:r>
      <w:r w:rsidR="00C162B1">
        <w:t xml:space="preserve">basic </w:t>
      </w:r>
      <w:r w:rsidR="00706516">
        <w:t xml:space="preserve">public law </w:t>
      </w:r>
      <w:r w:rsidR="006771B2">
        <w:t>duties</w:t>
      </w:r>
      <w:r w:rsidR="00706516">
        <w:t xml:space="preserve"> including legally sufficient enquiry and legally </w:t>
      </w:r>
      <w:r w:rsidR="00B563D5">
        <w:t>adequate</w:t>
      </w:r>
      <w:r w:rsidR="00706516">
        <w:t xml:space="preserve"> reasons.</w:t>
      </w:r>
      <w:r w:rsidR="00F46B52">
        <w:t xml:space="preserve"> </w:t>
      </w:r>
      <w:r w:rsidR="00360A29">
        <w:t>Th</w:t>
      </w:r>
      <w:r w:rsidR="00F46B52">
        <w:t>is</w:t>
      </w:r>
      <w:r w:rsidR="00360A29">
        <w:t xml:space="preserve"> case also features a</w:t>
      </w:r>
      <w:r w:rsidR="00F46B52">
        <w:t>n important</w:t>
      </w:r>
      <w:r w:rsidR="00B563D5">
        <w:t xml:space="preserve"> distinction </w:t>
      </w:r>
      <w:bookmarkStart w:id="1" w:name="_Hlk166847563"/>
      <w:r w:rsidR="00B563D5">
        <w:t xml:space="preserve">between </w:t>
      </w:r>
      <w:bookmarkStart w:id="2" w:name="_Hlk166928853"/>
      <w:r w:rsidR="00B563D5">
        <w:t>fee level sufficiency</w:t>
      </w:r>
      <w:r w:rsidR="00EC0617">
        <w:t xml:space="preserve"> </w:t>
      </w:r>
      <w:r w:rsidR="00B563D5">
        <w:t xml:space="preserve">(a) </w:t>
      </w:r>
      <w:r w:rsidR="00EC0617">
        <w:t>to cover inflationary cost increases</w:t>
      </w:r>
      <w:r w:rsidR="00B563D5">
        <w:t xml:space="preserve"> and (b)</w:t>
      </w:r>
      <w:r w:rsidR="009327A1">
        <w:t xml:space="preserve"> </w:t>
      </w:r>
      <w:r w:rsidR="003F526A">
        <w:t xml:space="preserve">to sustain </w:t>
      </w:r>
      <w:bookmarkStart w:id="3" w:name="_Hlk166850472"/>
      <w:r w:rsidR="003F526A">
        <w:t>the efficient and effective operation of a care home market</w:t>
      </w:r>
      <w:bookmarkEnd w:id="2"/>
      <w:bookmarkEnd w:id="3"/>
      <w:r w:rsidR="003F526A">
        <w:t>.</w:t>
      </w:r>
      <w:bookmarkEnd w:id="1"/>
      <w:r w:rsidR="0058758F">
        <w:t xml:space="preserve"> </w:t>
      </w:r>
      <w:r w:rsidR="00F46B52">
        <w:t>The case came</w:t>
      </w:r>
      <w:r w:rsidR="00B563D5">
        <w:t xml:space="preserve"> </w:t>
      </w:r>
      <w:r w:rsidR="00F46B52">
        <w:t>before me</w:t>
      </w:r>
      <w:r w:rsidR="00B563D5">
        <w:t xml:space="preserve"> for the</w:t>
      </w:r>
      <w:r w:rsidR="00C152C8">
        <w:t xml:space="preserve"> rolled-up hearing I directed </w:t>
      </w:r>
      <w:r w:rsidR="00B563D5">
        <w:t>at</w:t>
      </w:r>
      <w:r w:rsidR="00C152C8">
        <w:t xml:space="preserve"> [2024] EWHC 184 (Admin).</w:t>
      </w:r>
      <w:r w:rsidR="00B44F0E">
        <w:t xml:space="preserve"> I am grateful to all Counsel for their comprehensive written and oral submissions, and for </w:t>
      </w:r>
      <w:r w:rsidR="002B02FF">
        <w:t xml:space="preserve">patiently </w:t>
      </w:r>
      <w:r w:rsidR="00B44F0E">
        <w:t xml:space="preserve">helping me understand the voluminous documentation to which </w:t>
      </w:r>
      <w:r w:rsidR="00F235CD">
        <w:t>they were referring me</w:t>
      </w:r>
      <w:r w:rsidR="00B44F0E">
        <w:t>.</w:t>
      </w:r>
    </w:p>
    <w:p w14:paraId="2EE9D566" w14:textId="6B74F7F2" w:rsidR="0083087A" w:rsidRPr="0083087A" w:rsidRDefault="0083087A" w:rsidP="0083087A">
      <w:pPr>
        <w:pStyle w:val="ParaLevel1"/>
        <w:numPr>
          <w:ilvl w:val="0"/>
          <w:numId w:val="0"/>
        </w:numPr>
        <w:tabs>
          <w:tab w:val="left" w:pos="567"/>
        </w:tabs>
        <w:rPr>
          <w:u w:val="single"/>
        </w:rPr>
      </w:pPr>
      <w:r w:rsidRPr="0083087A">
        <w:rPr>
          <w:u w:val="single"/>
        </w:rPr>
        <w:t>The 2021 Agreement</w:t>
      </w:r>
    </w:p>
    <w:p w14:paraId="23DFF560" w14:textId="51F840B0" w:rsidR="004E26E5" w:rsidRDefault="004E26E5" w:rsidP="00EE3450">
      <w:pPr>
        <w:pStyle w:val="ParaLevel1"/>
        <w:tabs>
          <w:tab w:val="clear" w:pos="720"/>
          <w:tab w:val="left" w:pos="567"/>
        </w:tabs>
        <w:ind w:left="567" w:hanging="567"/>
      </w:pPr>
      <w:r>
        <w:t xml:space="preserve">The 2021 Agreement was a contract between the Defendant (“the Council”) and each relevant care home operator. </w:t>
      </w:r>
      <w:r w:rsidR="00D158B9">
        <w:t xml:space="preserve">It is </w:t>
      </w:r>
      <w:r w:rsidR="00EE3450">
        <w:t>an SP Contract Arrangement as described in</w:t>
      </w:r>
      <w:r w:rsidR="00D158B9">
        <w:t xml:space="preserve"> the Statutory Guidance</w:t>
      </w:r>
      <w:r w:rsidR="00D65222">
        <w:t xml:space="preserve"> (</w:t>
      </w:r>
      <w:r w:rsidR="00EE3450">
        <w:t xml:space="preserve">see </w:t>
      </w:r>
      <w:r w:rsidR="00D65222">
        <w:t>§</w:t>
      </w:r>
      <w:r w:rsidR="00FD130D">
        <w:t>11</w:t>
      </w:r>
      <w:r w:rsidR="00D65222">
        <w:t xml:space="preserve"> below)</w:t>
      </w:r>
      <w:r w:rsidR="00D158B9">
        <w:t xml:space="preserve">. </w:t>
      </w:r>
      <w:r w:rsidR="000B45F6">
        <w:t xml:space="preserve">It </w:t>
      </w:r>
      <w:r w:rsidR="002A34F1">
        <w:t xml:space="preserve">addresses the relationship between the Council and the care home operator, </w:t>
      </w:r>
      <w:r w:rsidR="002920D9">
        <w:t xml:space="preserve">as to placements of individuals in care homes. </w:t>
      </w:r>
      <w:r>
        <w:t>It came into effect on 1 April 2021 and governed a three-year relationship: Year 1 (2021/2022), Year 2 (2022/2023</w:t>
      </w:r>
      <w:r w:rsidR="007567F9">
        <w:t>)</w:t>
      </w:r>
      <w:r>
        <w:t xml:space="preserve"> and Year 3 (2023/2024). It has now run its course. </w:t>
      </w:r>
      <w:r w:rsidR="00A41D0F">
        <w:t xml:space="preserve">There were various banded categories of care home. </w:t>
      </w:r>
      <w:r>
        <w:t xml:space="preserve">The focus of this case is on </w:t>
      </w:r>
      <w:r w:rsidR="00540423">
        <w:t>what happened</w:t>
      </w:r>
      <w:r w:rsidR="00360606">
        <w:t>, across all banded categories,</w:t>
      </w:r>
      <w:r w:rsidR="00540423">
        <w:t xml:space="preserve"> with </w:t>
      </w:r>
      <w:r w:rsidR="0083087A">
        <w:t xml:space="preserve">the </w:t>
      </w:r>
      <w:r w:rsidR="00540423">
        <w:t xml:space="preserve">weekly fees for </w:t>
      </w:r>
      <w:r>
        <w:t>Year 3.</w:t>
      </w:r>
    </w:p>
    <w:p w14:paraId="5894B891" w14:textId="0158EC8A" w:rsidR="00731381" w:rsidRPr="00166BE2" w:rsidRDefault="00731381" w:rsidP="00731381">
      <w:pPr>
        <w:pStyle w:val="ParaLevel1"/>
        <w:numPr>
          <w:ilvl w:val="0"/>
          <w:numId w:val="0"/>
        </w:numPr>
        <w:ind w:left="720" w:hanging="720"/>
        <w:rPr>
          <w:u w:val="single"/>
        </w:rPr>
      </w:pPr>
      <w:r w:rsidRPr="00166BE2">
        <w:rPr>
          <w:u w:val="single"/>
        </w:rPr>
        <w:t>The Basic Contractual Mechanism</w:t>
      </w:r>
    </w:p>
    <w:p w14:paraId="28442037" w14:textId="46E80948" w:rsidR="00731381" w:rsidRDefault="00731381" w:rsidP="00AE3F85">
      <w:pPr>
        <w:pStyle w:val="ParaLevel1"/>
        <w:tabs>
          <w:tab w:val="clear" w:pos="720"/>
          <w:tab w:val="left" w:pos="567"/>
        </w:tabs>
        <w:ind w:left="567" w:hanging="567"/>
      </w:pPr>
      <w:r>
        <w:t xml:space="preserve">The 2021 Agreement included an annual fee revision, applicable for Year 2 and Year 3. The Basic Contractual Mechanism for the annual fee revision of weekly care home rates was set out at clause 17.2 and Schedule 1. The weekly fees had two elements. Element A was staffing costs. Element B was non-staffing costs. The Basic Contractual Mechanism used National Living Wage as an index for the annual increase in respect of Element A. For Element B, it used an index called “CPIH”. Specifically, it took the published 12-month CPIH inflation index for the January preceding the </w:t>
      </w:r>
      <w:r w:rsidR="00124C2B">
        <w:t>start of the relevant financial year</w:t>
      </w:r>
      <w:r>
        <w:t xml:space="preserve">. CPIH is </w:t>
      </w:r>
      <w:r w:rsidRPr="0068297A">
        <w:t xml:space="preserve">the </w:t>
      </w:r>
      <w:r>
        <w:t xml:space="preserve">Office for National Statistics (ONS) </w:t>
      </w:r>
      <w:r w:rsidRPr="0068297A">
        <w:t>Consumer Prices Index including owner occupiers’ housing costs</w:t>
      </w:r>
      <w:r w:rsidR="009962E4">
        <w:t>: see §</w:t>
      </w:r>
      <w:r w:rsidR="00FD130D">
        <w:t>24</w:t>
      </w:r>
      <w:r w:rsidR="009962E4">
        <w:t xml:space="preserve"> below</w:t>
      </w:r>
      <w:r>
        <w:t>. Alongside the Basic Contractual Mechanism was provision for a further banding rate uplift (clauses 17.4 to 17.6).</w:t>
      </w:r>
    </w:p>
    <w:p w14:paraId="58E650C0" w14:textId="4521F604" w:rsidR="009E5A8C" w:rsidRPr="009E5A8C" w:rsidRDefault="002B6D17" w:rsidP="009E5A8C">
      <w:pPr>
        <w:pStyle w:val="ParaLevel1"/>
        <w:numPr>
          <w:ilvl w:val="0"/>
          <w:numId w:val="0"/>
        </w:numPr>
        <w:tabs>
          <w:tab w:val="left" w:pos="567"/>
        </w:tabs>
        <w:rPr>
          <w:u w:val="single"/>
        </w:rPr>
      </w:pPr>
      <w:r>
        <w:rPr>
          <w:u w:val="single"/>
        </w:rPr>
        <w:t>The Clause 17 Decision</w:t>
      </w:r>
    </w:p>
    <w:p w14:paraId="35CC47A9" w14:textId="2B8CE1CB" w:rsidR="00C2355C" w:rsidRDefault="00783B1B" w:rsidP="00731381">
      <w:pPr>
        <w:pStyle w:val="ParaLevel1"/>
        <w:tabs>
          <w:tab w:val="clear" w:pos="720"/>
          <w:tab w:val="left" w:pos="567"/>
        </w:tabs>
        <w:ind w:left="567" w:hanging="567"/>
      </w:pPr>
      <w:r>
        <w:t>Th</w:t>
      </w:r>
      <w:r w:rsidR="007465DD">
        <w:t>e Claimant’s judicial review</w:t>
      </w:r>
      <w:r w:rsidR="004D3025">
        <w:t xml:space="preserve"> claim involves </w:t>
      </w:r>
      <w:r w:rsidR="007D0DB8">
        <w:t xml:space="preserve">three targets for judicial review. The first </w:t>
      </w:r>
      <w:r w:rsidR="009030CB">
        <w:t xml:space="preserve">target </w:t>
      </w:r>
      <w:r w:rsidR="007D0DB8">
        <w:t>is a</w:t>
      </w:r>
      <w:r w:rsidR="00E60700">
        <w:t xml:space="preserve"> decision letter (31.1.23)</w:t>
      </w:r>
      <w:r w:rsidR="007A6604">
        <w:t xml:space="preserve"> written </w:t>
      </w:r>
      <w:r w:rsidR="006C627E">
        <w:t xml:space="preserve">by </w:t>
      </w:r>
      <w:r w:rsidR="007D0DB8">
        <w:t xml:space="preserve">the </w:t>
      </w:r>
      <w:r w:rsidR="002970A9">
        <w:t>Council</w:t>
      </w:r>
      <w:r w:rsidR="00970650">
        <w:t xml:space="preserve"> to all providers of care homes for older people in Northumberland, setting out</w:t>
      </w:r>
      <w:r w:rsidR="009E4DE2">
        <w:t xml:space="preserve"> the </w:t>
      </w:r>
      <w:r w:rsidR="000321E6">
        <w:t>C</w:t>
      </w:r>
      <w:r w:rsidR="009E4DE2">
        <w:t>ouncil</w:t>
      </w:r>
      <w:r w:rsidR="000321E6">
        <w:t>’</w:t>
      </w:r>
      <w:r w:rsidR="009E4DE2">
        <w:t xml:space="preserve">s </w:t>
      </w:r>
      <w:r w:rsidR="000321E6">
        <w:t>“</w:t>
      </w:r>
      <w:r w:rsidR="009E4DE2">
        <w:t>intentions</w:t>
      </w:r>
      <w:r w:rsidR="000321E6">
        <w:t>”</w:t>
      </w:r>
      <w:r w:rsidR="009E4DE2">
        <w:t xml:space="preserve"> for care home </w:t>
      </w:r>
      <w:r w:rsidR="009E4DE2">
        <w:lastRenderedPageBreak/>
        <w:t>fees in 2023/24</w:t>
      </w:r>
      <w:r w:rsidR="00A9696A">
        <w:t xml:space="preserve"> (from 1.4.23). This was the</w:t>
      </w:r>
      <w:r w:rsidR="00AB5938">
        <w:t xml:space="preserve"> Annual Fee Review Letter which the Council was contractually obliged </w:t>
      </w:r>
      <w:r w:rsidR="007B56E3">
        <w:t>to write</w:t>
      </w:r>
      <w:r w:rsidR="00007501">
        <w:t xml:space="preserve"> by </w:t>
      </w:r>
      <w:r w:rsidR="00B563D5">
        <w:t>c</w:t>
      </w:r>
      <w:r w:rsidR="009030CB">
        <w:t xml:space="preserve">lause </w:t>
      </w:r>
      <w:r w:rsidR="00B563D5">
        <w:t xml:space="preserve">17.4 of </w:t>
      </w:r>
      <w:r w:rsidR="00AB5938">
        <w:t>the</w:t>
      </w:r>
      <w:r w:rsidR="007B56E3">
        <w:t xml:space="preserve"> 2021 Agreement</w:t>
      </w:r>
      <w:r w:rsidR="009030CB">
        <w:t xml:space="preserve"> (§</w:t>
      </w:r>
      <w:r w:rsidR="00FD130D">
        <w:t>15</w:t>
      </w:r>
      <w:r w:rsidR="009030CB">
        <w:t xml:space="preserve"> below)</w:t>
      </w:r>
      <w:r w:rsidR="007B56E3">
        <w:t>.</w:t>
      </w:r>
      <w:r w:rsidR="006C052F">
        <w:t xml:space="preserve"> The </w:t>
      </w:r>
      <w:r w:rsidR="007D0DB8">
        <w:t>second target is a</w:t>
      </w:r>
      <w:r w:rsidR="006C052F">
        <w:t xml:space="preserve"> decision letter (</w:t>
      </w:r>
      <w:r w:rsidR="00721684">
        <w:t>22.3.23) by which the Council communicated “details of the specific fees for 2023/4</w:t>
      </w:r>
      <w:r w:rsidR="001C6DA8">
        <w:t>”.</w:t>
      </w:r>
      <w:r w:rsidR="00DF0353">
        <w:t xml:space="preserve"> </w:t>
      </w:r>
      <w:r w:rsidR="00015B5A">
        <w:t>The pleaded claim and grounds for judicial review (27.4.23) identify the second target as the principal decision then being challenged.</w:t>
      </w:r>
      <w:r w:rsidR="002C573D">
        <w:t xml:space="preserve"> The first and second targets</w:t>
      </w:r>
      <w:r w:rsidR="006A5751">
        <w:t xml:space="preserve"> are parts of </w:t>
      </w:r>
      <w:r w:rsidR="00DC7D59">
        <w:t>the Clause 17 Decision.</w:t>
      </w:r>
      <w:r w:rsidR="00731381">
        <w:t xml:space="preserve"> </w:t>
      </w:r>
      <w:r w:rsidR="00C2355C">
        <w:t xml:space="preserve">The impugned </w:t>
      </w:r>
      <w:r w:rsidR="00067AED">
        <w:t>Clause 17 Decision</w:t>
      </w:r>
      <w:r w:rsidR="00C2355C">
        <w:t xml:space="preserve"> addressed the fee revision for Year 3 (2023/4). </w:t>
      </w:r>
      <w:r w:rsidR="00067AED">
        <w:t>It</w:t>
      </w:r>
      <w:r w:rsidR="00C2355C">
        <w:t xml:space="preserve"> applied the Basic Contractual Mechanism. </w:t>
      </w:r>
      <w:r w:rsidR="00067AED">
        <w:t>It</w:t>
      </w:r>
      <w:r w:rsidR="00C2355C">
        <w:t xml:space="preserve"> declined to add any further banding rate uplift. By way of background, a January 2022 decision letter (28.1.22)</w:t>
      </w:r>
      <w:r w:rsidR="00731381">
        <w:t>, implemented with effect from 1.4.22,</w:t>
      </w:r>
      <w:r w:rsidR="00C2355C">
        <w:t xml:space="preserve"> had taken the same approach for Year 2 (2022/3).</w:t>
      </w:r>
      <w:r w:rsidR="00290005">
        <w:t xml:space="preserve"> I discuss the legality of the Clause 17 </w:t>
      </w:r>
      <w:r w:rsidR="00FD130D">
        <w:t>D</w:t>
      </w:r>
      <w:r w:rsidR="00290005">
        <w:t>ecision at §§</w:t>
      </w:r>
      <w:r w:rsidR="00FD130D">
        <w:t>31-52</w:t>
      </w:r>
      <w:r w:rsidR="00290005">
        <w:t xml:space="preserve"> below.</w:t>
      </w:r>
    </w:p>
    <w:p w14:paraId="5091B039" w14:textId="0F26307D" w:rsidR="006A5751" w:rsidRPr="006A5751" w:rsidRDefault="006A5751" w:rsidP="006A5751">
      <w:pPr>
        <w:pStyle w:val="ParaLevel1"/>
        <w:numPr>
          <w:ilvl w:val="0"/>
          <w:numId w:val="0"/>
        </w:numPr>
        <w:tabs>
          <w:tab w:val="left" w:pos="567"/>
        </w:tabs>
        <w:rPr>
          <w:u w:val="single"/>
        </w:rPr>
      </w:pPr>
      <w:r w:rsidRPr="006A5751">
        <w:rPr>
          <w:u w:val="single"/>
        </w:rPr>
        <w:t xml:space="preserve">The MSI </w:t>
      </w:r>
      <w:r w:rsidR="000B5F83">
        <w:rPr>
          <w:u w:val="single"/>
        </w:rPr>
        <w:t xml:space="preserve">Fund </w:t>
      </w:r>
      <w:r w:rsidRPr="006A5751">
        <w:rPr>
          <w:u w:val="single"/>
        </w:rPr>
        <w:t>Grant Allocation Decision</w:t>
      </w:r>
    </w:p>
    <w:p w14:paraId="35AC59C6" w14:textId="39CBE60B" w:rsidR="00F16A14" w:rsidRDefault="005749FB" w:rsidP="004D3025">
      <w:pPr>
        <w:pStyle w:val="ParaLevel1"/>
        <w:tabs>
          <w:tab w:val="clear" w:pos="720"/>
          <w:tab w:val="left" w:pos="567"/>
        </w:tabs>
        <w:ind w:left="567" w:hanging="567"/>
      </w:pPr>
      <w:r>
        <w:t xml:space="preserve">The </w:t>
      </w:r>
      <w:r w:rsidR="0056346C">
        <w:t>third target</w:t>
      </w:r>
      <w:r>
        <w:t xml:space="preserve"> is </w:t>
      </w:r>
      <w:r w:rsidR="00B475C8">
        <w:t xml:space="preserve">the </w:t>
      </w:r>
      <w:r w:rsidR="0068297A">
        <w:t xml:space="preserve">Council’s </w:t>
      </w:r>
      <w:r>
        <w:t>decision</w:t>
      </w:r>
      <w:r w:rsidR="0068297A">
        <w:t xml:space="preserve"> (9.5.23)</w:t>
      </w:r>
      <w:r w:rsidR="007070EA">
        <w:t xml:space="preserve"> approving the</w:t>
      </w:r>
      <w:r w:rsidR="00077A25">
        <w:t xml:space="preserve"> use of a grant </w:t>
      </w:r>
      <w:r w:rsidR="00EA1962">
        <w:t xml:space="preserve">called </w:t>
      </w:r>
      <w:r w:rsidR="00077A25">
        <w:t>the Market Sustainability and Improvement Fund</w:t>
      </w:r>
      <w:r w:rsidR="006F5B94">
        <w:t xml:space="preserve"> </w:t>
      </w:r>
      <w:r w:rsidR="00EA1962">
        <w:t>(</w:t>
      </w:r>
      <w:r w:rsidR="006F5B94">
        <w:t xml:space="preserve">the </w:t>
      </w:r>
      <w:r w:rsidR="0068297A">
        <w:t>“</w:t>
      </w:r>
      <w:r w:rsidR="006F5B94">
        <w:t>MSI Fund”)</w:t>
      </w:r>
      <w:r w:rsidR="0069643A">
        <w:t xml:space="preserve"> for </w:t>
      </w:r>
      <w:r w:rsidR="00E91378">
        <w:t xml:space="preserve">a </w:t>
      </w:r>
      <w:r w:rsidR="0068297A">
        <w:t>top-up</w:t>
      </w:r>
      <w:r w:rsidR="004146CE">
        <w:t xml:space="preserve"> fee rate increase</w:t>
      </w:r>
      <w:r w:rsidR="002D1656">
        <w:t xml:space="preserve">. </w:t>
      </w:r>
      <w:r w:rsidR="0068297A">
        <w:t>Amended grounds</w:t>
      </w:r>
      <w:r w:rsidR="00655A22">
        <w:t xml:space="preserve"> </w:t>
      </w:r>
      <w:r w:rsidR="0068297A">
        <w:t xml:space="preserve">impugning the third target were added, as a benign and disciplined example of </w:t>
      </w:r>
      <w:r w:rsidR="00780E06">
        <w:t>“rolling judicial review”.</w:t>
      </w:r>
      <w:r w:rsidR="00862664">
        <w:t xml:space="preserve"> The third target is the MSI </w:t>
      </w:r>
      <w:r w:rsidR="009100A1">
        <w:t xml:space="preserve">Fund </w:t>
      </w:r>
      <w:r w:rsidR="00862664">
        <w:t>Grant Allocation Decision.</w:t>
      </w:r>
      <w:r w:rsidR="00731381">
        <w:t xml:space="preserve"> The impugned May 2023 decision approved the use of £770k of the Council’s MSI Fund grant (£3.56m) for the overall fee rate increase of 1.5% from 1.4.23. When I say “overall” it is because a grant-based increase also applied to Element A (staffing costs). By way of background, an October 2022 decision (11.10.22) had approved the use of £330k from a previous grant called the Market Sustainability and Fair Cost of Care Fund (the “MSF Fund”), for an overall fee rate bump of 2.45% for 4 months at the end of Year 2 (1.12.22 to 31.3.23). I call it a “bump” because it was a time-limited increase. That means the fees reverted to their previous level at midnight on 31.3.23.</w:t>
      </w:r>
      <w:r w:rsidR="00290005">
        <w:t xml:space="preserve"> I discuss the legality of the </w:t>
      </w:r>
      <w:r w:rsidR="00BA25E6">
        <w:t>MSI Fund Grant Allocation Decision</w:t>
      </w:r>
      <w:r w:rsidR="00290005">
        <w:t xml:space="preserve"> at §§</w:t>
      </w:r>
      <w:r w:rsidR="00FD130D">
        <w:t>53-60</w:t>
      </w:r>
      <w:r w:rsidR="00290005">
        <w:t xml:space="preserve"> below.</w:t>
      </w:r>
    </w:p>
    <w:p w14:paraId="133D4C05" w14:textId="5C01BAFE" w:rsidR="00F636D6" w:rsidRPr="001F6409" w:rsidRDefault="0033635D" w:rsidP="00F636D6">
      <w:pPr>
        <w:pStyle w:val="ParaLevel1"/>
        <w:numPr>
          <w:ilvl w:val="0"/>
          <w:numId w:val="0"/>
        </w:numPr>
        <w:tabs>
          <w:tab w:val="left" w:pos="567"/>
        </w:tabs>
        <w:rPr>
          <w:u w:val="single"/>
        </w:rPr>
      </w:pPr>
      <w:r>
        <w:rPr>
          <w:u w:val="single"/>
        </w:rPr>
        <w:t xml:space="preserve">3 Years in the </w:t>
      </w:r>
      <w:r w:rsidR="000F7C19">
        <w:rPr>
          <w:u w:val="single"/>
        </w:rPr>
        <w:t>Life of a Banded Fee</w:t>
      </w:r>
    </w:p>
    <w:p w14:paraId="42058293" w14:textId="4350726D" w:rsidR="0010721B" w:rsidRDefault="000C0CED" w:rsidP="00AF59C1">
      <w:pPr>
        <w:pStyle w:val="ParaLevel1"/>
        <w:tabs>
          <w:tab w:val="clear" w:pos="720"/>
          <w:tab w:val="left" w:pos="567"/>
        </w:tabs>
        <w:ind w:left="567" w:hanging="567"/>
      </w:pPr>
      <w:r>
        <w:t>To help</w:t>
      </w:r>
      <w:r w:rsidR="00AA4EFE">
        <w:t xml:space="preserve"> understand the sequence of events, </w:t>
      </w:r>
      <w:r>
        <w:t>I will take an example. I will use the</w:t>
      </w:r>
      <w:r w:rsidR="00595926">
        <w:t xml:space="preserve"> non-staffing costs (</w:t>
      </w:r>
      <w:r w:rsidR="00406BCE">
        <w:t>Element B</w:t>
      </w:r>
      <w:r w:rsidR="00595926">
        <w:t>)</w:t>
      </w:r>
      <w:r w:rsidR="00406BCE">
        <w:t xml:space="preserve"> for </w:t>
      </w:r>
      <w:r>
        <w:t>a</w:t>
      </w:r>
      <w:r w:rsidR="00406BCE">
        <w:t xml:space="preserve"> band</w:t>
      </w:r>
      <w:r w:rsidR="00F31D9E">
        <w:t>ed</w:t>
      </w:r>
      <w:r w:rsidR="00406BCE">
        <w:t xml:space="preserve"> category of care home</w:t>
      </w:r>
      <w:r w:rsidR="00F31D9E">
        <w:t xml:space="preserve"> </w:t>
      </w:r>
      <w:r w:rsidR="00595926">
        <w:t>(called</w:t>
      </w:r>
      <w:r w:rsidR="005D5539">
        <w:t xml:space="preserve"> </w:t>
      </w:r>
      <w:r w:rsidR="00595926">
        <w:t>G</w:t>
      </w:r>
      <w:r w:rsidR="00F31D9E">
        <w:t xml:space="preserve">old </w:t>
      </w:r>
      <w:r w:rsidR="00595926">
        <w:t>S</w:t>
      </w:r>
      <w:r w:rsidR="00F31D9E">
        <w:t xml:space="preserve">tandard </w:t>
      </w:r>
      <w:r w:rsidR="00595926">
        <w:t>R</w:t>
      </w:r>
      <w:r w:rsidR="00F31D9E">
        <w:t>esidential</w:t>
      </w:r>
      <w:r w:rsidR="0021770F">
        <w:t xml:space="preserve"> with 31-40 registered beds</w:t>
      </w:r>
      <w:r w:rsidR="00F31D9E">
        <w:t>)</w:t>
      </w:r>
      <w:r w:rsidR="003C61C0">
        <w:t>.</w:t>
      </w:r>
      <w:r>
        <w:t xml:space="preserve"> </w:t>
      </w:r>
      <w:r w:rsidR="00FA17E9">
        <w:t xml:space="preserve">Tracing </w:t>
      </w:r>
      <w:r w:rsidR="00857D74">
        <w:t xml:space="preserve">this </w:t>
      </w:r>
      <w:r>
        <w:t>chosen banding rate</w:t>
      </w:r>
      <w:r w:rsidR="000F7C19">
        <w:t xml:space="preserve"> through Years 1 to 3</w:t>
      </w:r>
      <w:r>
        <w:t>, here is what happened to it. (1) Under the 2021 Agreement</w:t>
      </w:r>
      <w:r w:rsidR="000F7C19">
        <w:t>, the fee</w:t>
      </w:r>
      <w:r>
        <w:t xml:space="preserve"> </w:t>
      </w:r>
      <w:r w:rsidR="00E03FB5">
        <w:t>was £228.31</w:t>
      </w:r>
      <w:r w:rsidR="00C243A4">
        <w:t xml:space="preserve"> </w:t>
      </w:r>
      <w:r w:rsidR="0043394E">
        <w:t>at the start of Year 1</w:t>
      </w:r>
      <w:r>
        <w:t xml:space="preserve"> (</w:t>
      </w:r>
      <w:r w:rsidR="00C243A4">
        <w:t>from 1.4.21</w:t>
      </w:r>
      <w:r>
        <w:t xml:space="preserve">). (2) Applying the Basic Contractual Mechanism of CPIH (4.9% at January 2022) </w:t>
      </w:r>
      <w:r w:rsidR="00B44F0E">
        <w:t xml:space="preserve">it increased </w:t>
      </w:r>
      <w:r w:rsidR="00961B6B">
        <w:t>to £239.50</w:t>
      </w:r>
      <w:r w:rsidR="00C243A4">
        <w:t xml:space="preserve"> </w:t>
      </w:r>
      <w:r>
        <w:t>(</w:t>
      </w:r>
      <w:r w:rsidR="00C243A4">
        <w:t>from 1.4.22</w:t>
      </w:r>
      <w:r>
        <w:t>)</w:t>
      </w:r>
      <w:r w:rsidR="00961B6B">
        <w:t>.</w:t>
      </w:r>
      <w:r w:rsidR="00874A21">
        <w:t xml:space="preserve"> </w:t>
      </w:r>
      <w:r>
        <w:t>(3) By reason of the October</w:t>
      </w:r>
      <w:r w:rsidR="00B74648">
        <w:t xml:space="preserve"> 2022 decision</w:t>
      </w:r>
      <w:r>
        <w:t xml:space="preserve"> using</w:t>
      </w:r>
      <w:r w:rsidR="00B74648">
        <w:t xml:space="preserve"> MSF Fund</w:t>
      </w:r>
      <w:r>
        <w:t xml:space="preserve"> grant</w:t>
      </w:r>
      <w:r w:rsidR="00B44F0E">
        <w:t xml:space="preserve">, this was bumped </w:t>
      </w:r>
      <w:r w:rsidR="008171A9">
        <w:t xml:space="preserve">by </w:t>
      </w:r>
      <w:r w:rsidR="00AF59C1">
        <w:t xml:space="preserve">the overall </w:t>
      </w:r>
      <w:r w:rsidR="008171A9">
        <w:t xml:space="preserve">2.45% to £245.37 </w:t>
      </w:r>
      <w:r w:rsidR="00B44F0E">
        <w:t>(</w:t>
      </w:r>
      <w:r w:rsidR="008171A9">
        <w:t>from 1.12.22 to 31.3.23</w:t>
      </w:r>
      <w:r w:rsidR="00B44F0E">
        <w:t>)</w:t>
      </w:r>
      <w:r w:rsidR="008171A9">
        <w:t xml:space="preserve">, reverting to </w:t>
      </w:r>
      <w:r w:rsidR="000277F7">
        <w:t xml:space="preserve">£239.50 </w:t>
      </w:r>
      <w:r w:rsidR="00B44F0E">
        <w:t>(</w:t>
      </w:r>
      <w:r w:rsidR="000277F7">
        <w:t>on 31.3.23</w:t>
      </w:r>
      <w:r w:rsidR="00B44F0E">
        <w:t>)</w:t>
      </w:r>
      <w:r w:rsidR="008171A9">
        <w:t>.</w:t>
      </w:r>
      <w:r w:rsidR="00B44F0E">
        <w:t xml:space="preserve"> (4) By the</w:t>
      </w:r>
      <w:r w:rsidR="0048319E">
        <w:t xml:space="preserve"> </w:t>
      </w:r>
      <w:r w:rsidR="0007290B">
        <w:t>impugned January and March 2023 decisions</w:t>
      </w:r>
      <w:r w:rsidR="0041147F">
        <w:t>,</w:t>
      </w:r>
      <w:r w:rsidR="0048319E">
        <w:t xml:space="preserve"> applying the </w:t>
      </w:r>
      <w:r w:rsidR="00B44F0E">
        <w:t>B</w:t>
      </w:r>
      <w:r w:rsidR="0048319E">
        <w:t xml:space="preserve">asic </w:t>
      </w:r>
      <w:r w:rsidR="00B44F0E">
        <w:t>C</w:t>
      </w:r>
      <w:r w:rsidR="0048319E">
        <w:t xml:space="preserve">ontractual </w:t>
      </w:r>
      <w:r w:rsidR="00B44F0E">
        <w:t>M</w:t>
      </w:r>
      <w:r w:rsidR="0048319E">
        <w:t xml:space="preserve">echanism </w:t>
      </w:r>
      <w:r w:rsidR="00AF59C1">
        <w:t>of CPIH (8.8% at January 2023) it increased to</w:t>
      </w:r>
      <w:r w:rsidR="00B0083C">
        <w:t xml:space="preserve"> £260.57.</w:t>
      </w:r>
      <w:r w:rsidR="00AF59C1">
        <w:t xml:space="preserve"> (5) By the</w:t>
      </w:r>
      <w:r w:rsidR="00B35F1B">
        <w:t xml:space="preserve"> </w:t>
      </w:r>
      <w:r w:rsidR="005D708E">
        <w:t>impugned May 2023 decision</w:t>
      </w:r>
      <w:r w:rsidR="002F584E">
        <w:t xml:space="preserve"> using the MSI Fund</w:t>
      </w:r>
      <w:r w:rsidR="00AF59C1">
        <w:t xml:space="preserve"> grant, it</w:t>
      </w:r>
      <w:r w:rsidR="00BC5348">
        <w:t xml:space="preserve"> </w:t>
      </w:r>
      <w:r w:rsidR="002F584E">
        <w:t xml:space="preserve">increased </w:t>
      </w:r>
      <w:r w:rsidR="00C10255">
        <w:t xml:space="preserve">by </w:t>
      </w:r>
      <w:r w:rsidR="00AF59C1">
        <w:t xml:space="preserve">the overall </w:t>
      </w:r>
      <w:r w:rsidR="00C10255">
        <w:t xml:space="preserve">1.5% </w:t>
      </w:r>
      <w:r w:rsidR="00AF59C1">
        <w:t>to</w:t>
      </w:r>
      <w:r w:rsidR="002F584E">
        <w:t xml:space="preserve"> </w:t>
      </w:r>
      <w:r w:rsidR="008A3E31">
        <w:t>£264.47</w:t>
      </w:r>
      <w:r w:rsidR="00AF59C1">
        <w:t xml:space="preserve"> (</w:t>
      </w:r>
      <w:r w:rsidR="002F755A">
        <w:t>backdated</w:t>
      </w:r>
      <w:r w:rsidR="00BC5348">
        <w:t xml:space="preserve"> from 1.4.23</w:t>
      </w:r>
      <w:r w:rsidR="00AF59C1">
        <w:t>)</w:t>
      </w:r>
      <w:r w:rsidR="00BC5348">
        <w:t>.</w:t>
      </w:r>
    </w:p>
    <w:p w14:paraId="1F1D9E65" w14:textId="53B9B4B6" w:rsidR="00023A5C" w:rsidRPr="00FA17E9" w:rsidRDefault="000C4C45" w:rsidP="00FA17E9">
      <w:pPr>
        <w:pStyle w:val="ParaLevel1"/>
        <w:numPr>
          <w:ilvl w:val="0"/>
          <w:numId w:val="0"/>
        </w:numPr>
        <w:tabs>
          <w:tab w:val="left" w:pos="567"/>
        </w:tabs>
        <w:rPr>
          <w:u w:val="single"/>
        </w:rPr>
      </w:pPr>
      <w:r>
        <w:rPr>
          <w:u w:val="single"/>
        </w:rPr>
        <w:t>Sufficiency for a</w:t>
      </w:r>
      <w:r w:rsidR="00FA17E9" w:rsidRPr="00FA17E9">
        <w:rPr>
          <w:u w:val="single"/>
        </w:rPr>
        <w:t xml:space="preserve"> Sustainable Effectively</w:t>
      </w:r>
      <w:r w:rsidR="00DF7D2A">
        <w:rPr>
          <w:u w:val="single"/>
        </w:rPr>
        <w:t xml:space="preserve"> </w:t>
      </w:r>
      <w:r w:rsidR="00FA17E9" w:rsidRPr="00FA17E9">
        <w:rPr>
          <w:u w:val="single"/>
        </w:rPr>
        <w:t>Operating Market</w:t>
      </w:r>
    </w:p>
    <w:p w14:paraId="0DA8A50C" w14:textId="4D989A16" w:rsidR="006637ED" w:rsidRDefault="00C83BCF" w:rsidP="00AE3F85">
      <w:pPr>
        <w:pStyle w:val="ParaLevel1"/>
        <w:tabs>
          <w:tab w:val="clear" w:pos="720"/>
          <w:tab w:val="left" w:pos="567"/>
        </w:tabs>
        <w:ind w:left="567" w:hanging="567"/>
      </w:pPr>
      <w:r>
        <w:t xml:space="preserve">I referred </w:t>
      </w:r>
      <w:r w:rsidR="003C0E81">
        <w:t xml:space="preserve">at the outset </w:t>
      </w:r>
      <w:r>
        <w:t>to</w:t>
      </w:r>
      <w:r w:rsidR="00AB3C4C">
        <w:t xml:space="preserve"> a distinction between fee level sufficiency (a) to cover inflationary cost increases and (b) to sustain the efficient and effective operation of a care home market.</w:t>
      </w:r>
      <w:r>
        <w:t xml:space="preserve"> It is </w:t>
      </w:r>
      <w:r w:rsidR="00F5469B">
        <w:t xml:space="preserve">the latter – sufficiency to sustain the efficient and effective operation of a care home market </w:t>
      </w:r>
      <w:r w:rsidR="00976F10">
        <w:t>– with which the</w:t>
      </w:r>
      <w:r w:rsidR="006614D3">
        <w:t xml:space="preserve"> general statutory duty, the Statutory Guidance and c</w:t>
      </w:r>
      <w:r w:rsidR="007A6BCD">
        <w:t xml:space="preserve">lause </w:t>
      </w:r>
      <w:r w:rsidR="006614D3">
        <w:t>17.4 of the 2021 Agreement are concerned</w:t>
      </w:r>
      <w:r w:rsidR="007A6BCD">
        <w:t>.</w:t>
      </w:r>
    </w:p>
    <w:p w14:paraId="59B63150" w14:textId="0C2C3314" w:rsidR="00843954" w:rsidRPr="00843954" w:rsidRDefault="00843954" w:rsidP="00592A7D">
      <w:pPr>
        <w:pStyle w:val="ParaLevel1"/>
        <w:keepNext/>
        <w:numPr>
          <w:ilvl w:val="0"/>
          <w:numId w:val="0"/>
        </w:numPr>
        <w:tabs>
          <w:tab w:val="left" w:pos="567"/>
        </w:tabs>
        <w:rPr>
          <w:u w:val="single"/>
        </w:rPr>
      </w:pPr>
      <w:r w:rsidRPr="00843954">
        <w:rPr>
          <w:u w:val="single"/>
        </w:rPr>
        <w:lastRenderedPageBreak/>
        <w:t xml:space="preserve">The </w:t>
      </w:r>
      <w:r w:rsidR="004F2BC7">
        <w:rPr>
          <w:u w:val="single"/>
        </w:rPr>
        <w:t>G</w:t>
      </w:r>
      <w:r w:rsidRPr="00843954">
        <w:rPr>
          <w:u w:val="single"/>
        </w:rPr>
        <w:t xml:space="preserve">eneral </w:t>
      </w:r>
      <w:r w:rsidR="004F2BC7">
        <w:rPr>
          <w:u w:val="single"/>
        </w:rPr>
        <w:t>D</w:t>
      </w:r>
      <w:r w:rsidRPr="00843954">
        <w:rPr>
          <w:u w:val="single"/>
        </w:rPr>
        <w:t>uty</w:t>
      </w:r>
    </w:p>
    <w:p w14:paraId="030ECC89" w14:textId="08F83A3A" w:rsidR="00843954" w:rsidRDefault="009F6AE7" w:rsidP="00592A7D">
      <w:pPr>
        <w:pStyle w:val="ParaLevel1"/>
        <w:keepNext/>
        <w:tabs>
          <w:tab w:val="clear" w:pos="720"/>
          <w:tab w:val="left" w:pos="567"/>
        </w:tabs>
        <w:ind w:left="567" w:hanging="567"/>
      </w:pPr>
      <w:r>
        <w:t>By s.5(1)</w:t>
      </w:r>
      <w:r w:rsidR="007A6BCD">
        <w:t xml:space="preserve"> of the 2014 Act</w:t>
      </w:r>
      <w:r>
        <w:t xml:space="preserve">, Parliament imposed </w:t>
      </w:r>
      <w:r w:rsidR="00665511">
        <w:t>the</w:t>
      </w:r>
      <w:r>
        <w:t xml:space="preserve"> general duty</w:t>
      </w:r>
      <w:r w:rsidR="00050AA5">
        <w:t xml:space="preserve"> on a local authority</w:t>
      </w:r>
      <w:r w:rsidR="00365CA0">
        <w:t xml:space="preserve"> </w:t>
      </w:r>
      <w:r w:rsidR="0003428B">
        <w:t>to “</w:t>
      </w:r>
      <w:r w:rsidR="00AD6AAD">
        <w:t>promote the efficient and effective operation of a market in services</w:t>
      </w:r>
      <w:r w:rsidR="0003428B">
        <w:t xml:space="preserve"> </w:t>
      </w:r>
      <w:r w:rsidR="00AD6AAD">
        <w:t>for meeting care and support needs with a view to ensuring that any person in its area wishing to</w:t>
      </w:r>
      <w:r w:rsidR="0003428B">
        <w:t xml:space="preserve"> </w:t>
      </w:r>
      <w:r w:rsidR="00AD6AAD">
        <w:t>access services in the marke</w:t>
      </w:r>
      <w:r w:rsidR="0003428B">
        <w:t xml:space="preserve">t has” three things: (a) </w:t>
      </w:r>
      <w:r w:rsidR="0091528A">
        <w:t>“</w:t>
      </w:r>
      <w:r w:rsidR="0003428B">
        <w:t>a</w:t>
      </w:r>
      <w:r w:rsidR="00AD6AAD">
        <w:t xml:space="preserve"> variety of providers to choose from who (taken together) provide a variety of services</w:t>
      </w:r>
      <w:r w:rsidR="0091528A">
        <w:t>”</w:t>
      </w:r>
      <w:r w:rsidR="00AD6AAD">
        <w:t>;</w:t>
      </w:r>
      <w:r w:rsidR="0003428B">
        <w:t xml:space="preserve"> (b) </w:t>
      </w:r>
      <w:r w:rsidR="0091528A">
        <w:t>“</w:t>
      </w:r>
      <w:r w:rsidR="00AD6AAD">
        <w:t>a variety of high quality services to choose from</w:t>
      </w:r>
      <w:r w:rsidR="0091528A">
        <w:t>”</w:t>
      </w:r>
      <w:r w:rsidR="00AD6AAD">
        <w:t>;</w:t>
      </w:r>
      <w:r w:rsidR="0003428B">
        <w:t xml:space="preserve"> and </w:t>
      </w:r>
      <w:r w:rsidR="00AD6AAD">
        <w:t xml:space="preserve">(c) </w:t>
      </w:r>
      <w:r w:rsidR="0091528A">
        <w:t>“</w:t>
      </w:r>
      <w:r w:rsidR="00AD6AAD">
        <w:t>sufficient information to make an informed decision about how to meet the needs in</w:t>
      </w:r>
      <w:r w:rsidR="0091528A">
        <w:t xml:space="preserve"> question”.</w:t>
      </w:r>
      <w:r w:rsidR="007F44F1">
        <w:t xml:space="preserve"> </w:t>
      </w:r>
      <w:r w:rsidR="00665511">
        <w:t>As a</w:t>
      </w:r>
      <w:r w:rsidR="006614D3">
        <w:t xml:space="preserve"> general duty</w:t>
      </w:r>
      <w:r w:rsidR="00665511">
        <w:t xml:space="preserve"> (or target duty)</w:t>
      </w:r>
      <w:r w:rsidR="00AA7E8B">
        <w:t xml:space="preserve">, </w:t>
      </w:r>
      <w:r w:rsidR="00665511">
        <w:t>this</w:t>
      </w:r>
      <w:r w:rsidR="00AA7E8B">
        <w:t xml:space="preserve"> does not confer </w:t>
      </w:r>
      <w:r w:rsidR="006637ED">
        <w:t>individual rights</w:t>
      </w:r>
      <w:r w:rsidR="00843954">
        <w:t>,</w:t>
      </w:r>
      <w:r w:rsidR="006637ED">
        <w:t xml:space="preserve"> but it nevertheless</w:t>
      </w:r>
      <w:r w:rsidR="00230CC1">
        <w:t xml:space="preserve"> capable of enforcement in an individual case</w:t>
      </w:r>
      <w:r w:rsidR="00AA7E8B">
        <w:t xml:space="preserve">: </w:t>
      </w:r>
      <w:r w:rsidR="00AA7E8B" w:rsidRPr="00843954">
        <w:rPr>
          <w:u w:val="single"/>
        </w:rPr>
        <w:t>R (Care England) v Essex County Council</w:t>
      </w:r>
      <w:r w:rsidR="00AA7E8B">
        <w:t xml:space="preserve"> [2017] EWHC 3035 (Admin) at §</w:t>
      </w:r>
      <w:r w:rsidR="00843954">
        <w:t>§</w:t>
      </w:r>
      <w:r w:rsidR="00AA7E8B">
        <w:t>6</w:t>
      </w:r>
      <w:r w:rsidR="00843954">
        <w:t>, 50</w:t>
      </w:r>
      <w:r w:rsidR="00AA7E8B">
        <w:t>.</w:t>
      </w:r>
    </w:p>
    <w:p w14:paraId="6A9DEF26" w14:textId="16B03E04" w:rsidR="00843954" w:rsidRPr="00843954" w:rsidRDefault="00843954" w:rsidP="00843954">
      <w:pPr>
        <w:pStyle w:val="ParaLevel1"/>
        <w:numPr>
          <w:ilvl w:val="0"/>
          <w:numId w:val="0"/>
        </w:numPr>
        <w:tabs>
          <w:tab w:val="left" w:pos="567"/>
        </w:tabs>
        <w:rPr>
          <w:u w:val="single"/>
        </w:rPr>
      </w:pPr>
      <w:r w:rsidRPr="00843954">
        <w:rPr>
          <w:u w:val="single"/>
        </w:rPr>
        <w:t xml:space="preserve">The </w:t>
      </w:r>
      <w:r w:rsidR="004F2BC7">
        <w:rPr>
          <w:u w:val="single"/>
        </w:rPr>
        <w:t>S</w:t>
      </w:r>
      <w:r w:rsidRPr="00843954">
        <w:rPr>
          <w:u w:val="single"/>
        </w:rPr>
        <w:t xml:space="preserve">ustainability </w:t>
      </w:r>
      <w:r w:rsidR="004F2BC7">
        <w:rPr>
          <w:u w:val="single"/>
        </w:rPr>
        <w:t>F</w:t>
      </w:r>
      <w:r w:rsidRPr="00843954">
        <w:rPr>
          <w:u w:val="single"/>
        </w:rPr>
        <w:t>actor</w:t>
      </w:r>
    </w:p>
    <w:p w14:paraId="683CE90E" w14:textId="45BCA9BC" w:rsidR="007F44F1" w:rsidRDefault="00B743F5" w:rsidP="00843954">
      <w:pPr>
        <w:pStyle w:val="ParaLevel1"/>
        <w:tabs>
          <w:tab w:val="clear" w:pos="720"/>
          <w:tab w:val="left" w:pos="567"/>
        </w:tabs>
        <w:ind w:left="567" w:hanging="567"/>
      </w:pPr>
      <w:r>
        <w:t>By s.5(2)(d)</w:t>
      </w:r>
      <w:r w:rsidR="00310CA7">
        <w:t xml:space="preserve"> of the 2014 Act</w:t>
      </w:r>
      <w:r>
        <w:t>, Parliament required a</w:t>
      </w:r>
      <w:r w:rsidR="00902D19">
        <w:t xml:space="preserve"> local authority, in performing </w:t>
      </w:r>
      <w:r>
        <w:t>that</w:t>
      </w:r>
      <w:r w:rsidR="00902D19">
        <w:t xml:space="preserve"> general </w:t>
      </w:r>
      <w:r>
        <w:t xml:space="preserve">s.5(1) </w:t>
      </w:r>
      <w:r w:rsidR="00902D19">
        <w:t xml:space="preserve">duty, to </w:t>
      </w:r>
      <w:r w:rsidR="00902AE4">
        <w:t>“</w:t>
      </w:r>
      <w:r w:rsidR="00902D19">
        <w:t xml:space="preserve">have regard </w:t>
      </w:r>
      <w:r w:rsidR="00902AE4">
        <w:t xml:space="preserve">… </w:t>
      </w:r>
      <w:r w:rsidR="00902D19">
        <w:t>in particular</w:t>
      </w:r>
      <w:r w:rsidR="00902AE4">
        <w:t>”</w:t>
      </w:r>
      <w:r w:rsidR="00902D19">
        <w:t xml:space="preserve"> to </w:t>
      </w:r>
      <w:r w:rsidR="00902AE4">
        <w:t>“</w:t>
      </w:r>
      <w:r w:rsidR="00902D19">
        <w:t>the importance of ensuring the sustainability of the market</w:t>
      </w:r>
      <w:r w:rsidR="006C6D17">
        <w:t>”</w:t>
      </w:r>
      <w:r w:rsidR="007F44F1">
        <w:t>,</w:t>
      </w:r>
      <w:r w:rsidR="006C6D17">
        <w:t xml:space="preserve"> both “</w:t>
      </w:r>
      <w:r w:rsidR="00F24E28">
        <w:t xml:space="preserve">in circumstances where it is </w:t>
      </w:r>
      <w:r w:rsidR="006C6D17">
        <w:t>operating effectively”</w:t>
      </w:r>
      <w:r w:rsidR="007F44F1">
        <w:t>,</w:t>
      </w:r>
      <w:r w:rsidR="006C6D17">
        <w:t xml:space="preserve"> and also “in circumstances where it is not</w:t>
      </w:r>
      <w:r w:rsidR="007F44F1">
        <w:t>”</w:t>
      </w:r>
      <w:r w:rsidR="00F24E28">
        <w:t>.</w:t>
      </w:r>
      <w:r w:rsidR="00B34C13">
        <w:t xml:space="preserve"> This </w:t>
      </w:r>
      <w:r w:rsidR="003D13A9">
        <w:t xml:space="preserve">mandatory relevancy (s.5(2)(d)) </w:t>
      </w:r>
      <w:r w:rsidR="00B34C13">
        <w:t>has been described as the “sustainability factor”:</w:t>
      </w:r>
      <w:r w:rsidR="00CA3F65">
        <w:t xml:space="preserve"> see</w:t>
      </w:r>
      <w:r w:rsidR="00B34C13">
        <w:t xml:space="preserve"> </w:t>
      </w:r>
      <w:r w:rsidR="00B34C13" w:rsidRPr="00843954">
        <w:rPr>
          <w:u w:val="single"/>
        </w:rPr>
        <w:t>Care England</w:t>
      </w:r>
      <w:r w:rsidR="00B34C13">
        <w:t xml:space="preserve"> at §6.</w:t>
      </w:r>
    </w:p>
    <w:p w14:paraId="5B23A2A9" w14:textId="167F13E8" w:rsidR="00AA795E" w:rsidRPr="00AA795E" w:rsidRDefault="00AA795E" w:rsidP="00AA795E">
      <w:pPr>
        <w:pStyle w:val="ParaLevel1"/>
        <w:numPr>
          <w:ilvl w:val="0"/>
          <w:numId w:val="0"/>
        </w:numPr>
        <w:tabs>
          <w:tab w:val="left" w:pos="567"/>
        </w:tabs>
        <w:rPr>
          <w:u w:val="single"/>
        </w:rPr>
      </w:pPr>
      <w:r w:rsidRPr="00AA795E">
        <w:rPr>
          <w:u w:val="single"/>
        </w:rPr>
        <w:t>Clause 17.4</w:t>
      </w:r>
    </w:p>
    <w:p w14:paraId="6E8AEDFA" w14:textId="70EF1989" w:rsidR="00B34C13" w:rsidRDefault="00F24E28" w:rsidP="00D34B55">
      <w:pPr>
        <w:pStyle w:val="ParaLevel1"/>
        <w:tabs>
          <w:tab w:val="clear" w:pos="720"/>
          <w:tab w:val="left" w:pos="567"/>
        </w:tabs>
        <w:ind w:left="567" w:hanging="567"/>
      </w:pPr>
      <w:r>
        <w:t>Clause</w:t>
      </w:r>
      <w:r w:rsidR="007676D0">
        <w:t xml:space="preserve"> 17.</w:t>
      </w:r>
      <w:r w:rsidR="00513638">
        <w:t>4</w:t>
      </w:r>
      <w:r w:rsidR="007676D0">
        <w:t xml:space="preserve"> of the 2021 Agreement</w:t>
      </w:r>
      <w:r w:rsidR="00513638">
        <w:t xml:space="preserve"> </w:t>
      </w:r>
      <w:r w:rsidR="00AA7E8B">
        <w:t>(§</w:t>
      </w:r>
      <w:r w:rsidR="00FD130D">
        <w:t>15</w:t>
      </w:r>
      <w:r w:rsidR="00AA7E8B">
        <w:t xml:space="preserve"> below) </w:t>
      </w:r>
      <w:r w:rsidR="00513638">
        <w:t>poses a question about</w:t>
      </w:r>
      <w:r w:rsidR="004619C0">
        <w:t xml:space="preserve"> banding rates and whether,</w:t>
      </w:r>
      <w:r w:rsidR="00D84481">
        <w:t xml:space="preserve"> when increased using the </w:t>
      </w:r>
      <w:r w:rsidR="00AA7E8B">
        <w:t>B</w:t>
      </w:r>
      <w:r w:rsidR="00D84481">
        <w:t xml:space="preserve">asic </w:t>
      </w:r>
      <w:r w:rsidR="00AA7E8B">
        <w:t>C</w:t>
      </w:r>
      <w:r w:rsidR="00D84481">
        <w:t xml:space="preserve">ontractual </w:t>
      </w:r>
      <w:r w:rsidR="00AA7E8B">
        <w:t>M</w:t>
      </w:r>
      <w:r w:rsidR="00D84481">
        <w:t>echanism,</w:t>
      </w:r>
      <w:r w:rsidR="009A66BB">
        <w:t xml:space="preserve"> they will “be sufficient to sustain the efficient and effective operation of a marketing care home accommodation for older people in Northumberland”.</w:t>
      </w:r>
      <w:r w:rsidR="00C54508">
        <w:t xml:space="preserve"> </w:t>
      </w:r>
      <w:r w:rsidR="005B7B44">
        <w:t>As e</w:t>
      </w:r>
      <w:r w:rsidR="00AA7E8B">
        <w:t xml:space="preserve">veryone </w:t>
      </w:r>
      <w:r w:rsidR="005B7B44">
        <w:t xml:space="preserve">in this case </w:t>
      </w:r>
      <w:r w:rsidR="00AA7E8B">
        <w:t>agrees</w:t>
      </w:r>
      <w:r w:rsidR="005B7B44">
        <w:t>, there is</w:t>
      </w:r>
      <w:r w:rsidR="00C54508">
        <w:t xml:space="preserve"> a clear </w:t>
      </w:r>
      <w:r w:rsidR="0027282D">
        <w:t xml:space="preserve">relationship between this language and </w:t>
      </w:r>
      <w:r w:rsidR="006614D3">
        <w:t>s.5</w:t>
      </w:r>
      <w:r w:rsidR="00425295">
        <w:t>(1)</w:t>
      </w:r>
      <w:r w:rsidR="00AA795E">
        <w:t xml:space="preserve"> and (2)(d)</w:t>
      </w:r>
      <w:r w:rsidR="0027282D">
        <w:t>.</w:t>
      </w:r>
    </w:p>
    <w:p w14:paraId="198BF658" w14:textId="2E322854" w:rsidR="000C4C45" w:rsidRPr="000C4C45" w:rsidRDefault="000C4C45" w:rsidP="000C4C45">
      <w:pPr>
        <w:pStyle w:val="ParaLevel1"/>
        <w:numPr>
          <w:ilvl w:val="0"/>
          <w:numId w:val="0"/>
        </w:numPr>
        <w:tabs>
          <w:tab w:val="left" w:pos="567"/>
        </w:tabs>
        <w:rPr>
          <w:u w:val="single"/>
        </w:rPr>
      </w:pPr>
      <w:r w:rsidRPr="000C4C45">
        <w:rPr>
          <w:u w:val="single"/>
        </w:rPr>
        <w:t xml:space="preserve">The Statutory Guidance and </w:t>
      </w:r>
      <w:r w:rsidR="00BD62B2">
        <w:rPr>
          <w:u w:val="single"/>
        </w:rPr>
        <w:t xml:space="preserve">SP </w:t>
      </w:r>
      <w:r w:rsidR="00BE4E25">
        <w:rPr>
          <w:u w:val="single"/>
        </w:rPr>
        <w:t>Contract Arrangements</w:t>
      </w:r>
    </w:p>
    <w:p w14:paraId="31F7782C" w14:textId="1D87FFE8" w:rsidR="000C4C45" w:rsidRDefault="00F74645" w:rsidP="006A6C53">
      <w:pPr>
        <w:pStyle w:val="ParaLevel1"/>
        <w:tabs>
          <w:tab w:val="clear" w:pos="720"/>
          <w:tab w:val="left" w:pos="567"/>
        </w:tabs>
        <w:ind w:left="567" w:hanging="567"/>
      </w:pPr>
      <w:r w:rsidRPr="0034677E">
        <w:t xml:space="preserve">The </w:t>
      </w:r>
      <w:r w:rsidR="001258BC" w:rsidRPr="0034677E">
        <w:t>S</w:t>
      </w:r>
      <w:r w:rsidRPr="0034677E">
        <w:t xml:space="preserve">tatutory </w:t>
      </w:r>
      <w:r w:rsidR="001258BC" w:rsidRPr="0034677E">
        <w:t>G</w:t>
      </w:r>
      <w:r w:rsidRPr="0034677E">
        <w:t>uidance</w:t>
      </w:r>
      <w:r w:rsidR="00A7298B" w:rsidRPr="0034677E">
        <w:t xml:space="preserve"> </w:t>
      </w:r>
      <w:r w:rsidR="005B7B44" w:rsidRPr="0034677E">
        <w:t xml:space="preserve">issued </w:t>
      </w:r>
      <w:r w:rsidR="00DF7AB7" w:rsidRPr="0034677E">
        <w:t xml:space="preserve">under s.78 of the 2014 Act </w:t>
      </w:r>
      <w:r w:rsidR="00AA7E8B" w:rsidRPr="0034677E">
        <w:t xml:space="preserve">is </w:t>
      </w:r>
      <w:r w:rsidR="00DF7AB7" w:rsidRPr="0034677E">
        <w:t xml:space="preserve">called </w:t>
      </w:r>
      <w:r w:rsidR="0027282D" w:rsidRPr="0034677E">
        <w:t>the “</w:t>
      </w:r>
      <w:r w:rsidR="00E707B7" w:rsidRPr="0034677E">
        <w:t>Care and Support Statutory Guidance</w:t>
      </w:r>
      <w:r w:rsidR="0027282D" w:rsidRPr="0034677E">
        <w:t>”</w:t>
      </w:r>
      <w:r w:rsidR="00AA7E8B" w:rsidRPr="0034677E">
        <w:t>. It</w:t>
      </w:r>
      <w:r w:rsidR="00DF7AB7" w:rsidRPr="0034677E">
        <w:t xml:space="preserve"> recognises </w:t>
      </w:r>
      <w:r w:rsidR="0027746B" w:rsidRPr="0034677E">
        <w:t>(</w:t>
      </w:r>
      <w:r w:rsidR="00DF7AB7" w:rsidRPr="0034677E">
        <w:t xml:space="preserve">at </w:t>
      </w:r>
      <w:r w:rsidR="0027282D" w:rsidRPr="0034677E">
        <w:t>§</w:t>
      </w:r>
      <w:r w:rsidR="0027746B" w:rsidRPr="0034677E">
        <w:t xml:space="preserve">4.97) </w:t>
      </w:r>
      <w:r w:rsidR="008F713E" w:rsidRPr="0034677E">
        <w:t xml:space="preserve">that “contract arrangements” which local authorities make with </w:t>
      </w:r>
      <w:r w:rsidR="007F1A0F">
        <w:t xml:space="preserve">service </w:t>
      </w:r>
      <w:r w:rsidR="008F713E" w:rsidRPr="0034677E">
        <w:t>providers</w:t>
      </w:r>
      <w:r w:rsidR="003E571F" w:rsidRPr="0034677E">
        <w:t xml:space="preserve"> </w:t>
      </w:r>
      <w:r w:rsidR="007F1A0F">
        <w:t xml:space="preserve">(which I will call “SP Contract Arrangements”) </w:t>
      </w:r>
      <w:r w:rsidR="003E571F" w:rsidRPr="0034677E">
        <w:t xml:space="preserve">should be considered to ensure that </w:t>
      </w:r>
      <w:r w:rsidR="003E571F">
        <w:t xml:space="preserve">the </w:t>
      </w:r>
      <w:r w:rsidR="005428A9">
        <w:t>SP Contract A</w:t>
      </w:r>
      <w:r w:rsidR="003E571F">
        <w:t>rrangemen</w:t>
      </w:r>
      <w:r w:rsidR="005428A9">
        <w:t>t</w:t>
      </w:r>
      <w:r w:rsidR="003E571F">
        <w:t xml:space="preserve"> does not</w:t>
      </w:r>
      <w:r w:rsidR="00A7298B">
        <w:t xml:space="preserve"> have </w:t>
      </w:r>
      <w:r w:rsidR="00887C5D">
        <w:t>“</w:t>
      </w:r>
      <w:r w:rsidR="00A7298B">
        <w:t>negative impacts on the sustainability, sufficiency, equality, diversity and value for money of the market as a whole – the pool of providers able to deliver services of appropriate quality”</w:t>
      </w:r>
      <w:r w:rsidR="00E707B7">
        <w:t>.</w:t>
      </w:r>
      <w:r w:rsidR="00887C5D">
        <w:t xml:space="preserve"> That includes “framework agreements</w:t>
      </w:r>
      <w:r w:rsidR="00D53939">
        <w:t>, spot contracting or any ‘qualified provider’ approaches</w:t>
      </w:r>
      <w:r w:rsidR="00887C5D">
        <w:t>”.</w:t>
      </w:r>
      <w:r w:rsidR="00ED380D">
        <w:t xml:space="preserve"> </w:t>
      </w:r>
      <w:r w:rsidR="00ED380D" w:rsidRPr="00551D0E">
        <w:t xml:space="preserve">The 2021 Agreement is </w:t>
      </w:r>
      <w:r w:rsidR="00082BCC">
        <w:t>a SP Contract Arrangement</w:t>
      </w:r>
      <w:r w:rsidR="0010746F">
        <w:t>. It uses a</w:t>
      </w:r>
      <w:r w:rsidR="00082BCC">
        <w:t xml:space="preserve"> </w:t>
      </w:r>
      <w:r w:rsidR="004250F4">
        <w:t xml:space="preserve">‘qualified provider’ </w:t>
      </w:r>
      <w:r w:rsidR="0010746F">
        <w:t>approach</w:t>
      </w:r>
      <w:r w:rsidR="0061620C">
        <w:t xml:space="preserve"> (</w:t>
      </w:r>
      <w:r w:rsidR="0010746F">
        <w:t xml:space="preserve">rather than </w:t>
      </w:r>
      <w:r w:rsidR="00D103DD">
        <w:t xml:space="preserve">the </w:t>
      </w:r>
      <w:r w:rsidR="00605F47">
        <w:t>post-tendering</w:t>
      </w:r>
      <w:r w:rsidR="00E92B0B">
        <w:t xml:space="preserve"> ‘approved list</w:t>
      </w:r>
      <w:r w:rsidR="0010746F">
        <w:t xml:space="preserve">’ </w:t>
      </w:r>
      <w:r w:rsidR="008E03AC">
        <w:t xml:space="preserve">used for </w:t>
      </w:r>
      <w:r w:rsidR="0010746F">
        <w:t>a</w:t>
      </w:r>
      <w:r w:rsidR="00ED380D" w:rsidRPr="00551D0E">
        <w:t xml:space="preserve"> framework agreement</w:t>
      </w:r>
      <w:r w:rsidR="008E03AC">
        <w:t>’</w:t>
      </w:r>
      <w:r w:rsidR="000D594A">
        <w:t xml:space="preserve">: </w:t>
      </w:r>
      <w:r w:rsidR="000D670E">
        <w:t>Statutory Guidance §4.39)</w:t>
      </w:r>
      <w:r w:rsidR="00ED380D" w:rsidRPr="00551D0E">
        <w:t xml:space="preserve">. The Statutory Guidance </w:t>
      </w:r>
      <w:r w:rsidR="000D594A">
        <w:t xml:space="preserve">(§4.97) </w:t>
      </w:r>
      <w:r w:rsidR="00ED380D" w:rsidRPr="00551D0E">
        <w:t xml:space="preserve">therefore </w:t>
      </w:r>
      <w:r w:rsidR="00B91168">
        <w:t>supports the view that there is a</w:t>
      </w:r>
      <w:r w:rsidR="00ED380D">
        <w:t xml:space="preserve"> clear relationship between </w:t>
      </w:r>
      <w:r w:rsidR="002E2BE4">
        <w:t xml:space="preserve">clause 17.4 </w:t>
      </w:r>
      <w:r w:rsidR="00B91168">
        <w:t xml:space="preserve">of the 2021 Agreement </w:t>
      </w:r>
      <w:r w:rsidR="002E2BE4">
        <w:t>and</w:t>
      </w:r>
      <w:r w:rsidR="00ED380D">
        <w:t xml:space="preserve"> </w:t>
      </w:r>
      <w:r w:rsidR="00AA7E8B">
        <w:t>s.5</w:t>
      </w:r>
      <w:r w:rsidR="00741A3D">
        <w:t xml:space="preserve"> (</w:t>
      </w:r>
      <w:r w:rsidR="00A66457">
        <w:t>with its general duty and sustainability factor</w:t>
      </w:r>
      <w:r w:rsidR="00741A3D">
        <w:t>)</w:t>
      </w:r>
      <w:r w:rsidR="00A66457">
        <w:t>.</w:t>
      </w:r>
    </w:p>
    <w:p w14:paraId="16A1E05D" w14:textId="6C38A371" w:rsidR="00120F16" w:rsidRPr="00120F16" w:rsidRDefault="00120F16" w:rsidP="00120F16">
      <w:pPr>
        <w:pStyle w:val="ParaLevel1"/>
        <w:numPr>
          <w:ilvl w:val="0"/>
          <w:numId w:val="0"/>
        </w:numPr>
        <w:ind w:left="720" w:hanging="720"/>
        <w:rPr>
          <w:u w:val="single"/>
        </w:rPr>
      </w:pPr>
      <w:r w:rsidRPr="00120F16">
        <w:rPr>
          <w:u w:val="single"/>
        </w:rPr>
        <w:t>Sufficiency for a Sustainable Effectively Operating Market</w:t>
      </w:r>
    </w:p>
    <w:p w14:paraId="29A53ABB" w14:textId="75FE25A7" w:rsidR="00FD3F53" w:rsidRDefault="002E2BE4" w:rsidP="006A6C53">
      <w:pPr>
        <w:pStyle w:val="ParaLevel1"/>
        <w:tabs>
          <w:tab w:val="clear" w:pos="720"/>
          <w:tab w:val="left" w:pos="567"/>
        </w:tabs>
        <w:ind w:left="567" w:hanging="567"/>
      </w:pPr>
      <w:r w:rsidRPr="0034677E">
        <w:t>Here are some k</w:t>
      </w:r>
      <w:r w:rsidR="003F496C" w:rsidRPr="0034677E">
        <w:t>ey points made</w:t>
      </w:r>
      <w:r w:rsidR="00A20B75" w:rsidRPr="0034677E">
        <w:t xml:space="preserve"> </w:t>
      </w:r>
      <w:r w:rsidR="004009AA" w:rsidRPr="0034677E">
        <w:t xml:space="preserve">in the Statutory Guidance, </w:t>
      </w:r>
      <w:r w:rsidR="00A20B75" w:rsidRPr="0034677E">
        <w:t xml:space="preserve">about contractual fee levels </w:t>
      </w:r>
      <w:r w:rsidR="00A20B75">
        <w:t>and a sustainable effectively operating market</w:t>
      </w:r>
      <w:r w:rsidR="00FD3FC3">
        <w:t xml:space="preserve">. </w:t>
      </w:r>
      <w:r w:rsidR="00AA7E8B">
        <w:t>They were all considered in</w:t>
      </w:r>
      <w:r w:rsidR="00FD3FC3">
        <w:t xml:space="preserve"> </w:t>
      </w:r>
      <w:r w:rsidR="00FD3FC3" w:rsidRPr="006A6C53">
        <w:rPr>
          <w:u w:val="single"/>
        </w:rPr>
        <w:t>Care England</w:t>
      </w:r>
      <w:r w:rsidR="00FD3FC3">
        <w:t xml:space="preserve"> (see §§10, 61 and 64)</w:t>
      </w:r>
      <w:r w:rsidR="0057022E">
        <w:t>:</w:t>
      </w:r>
    </w:p>
    <w:p w14:paraId="662DF62E" w14:textId="2F764121" w:rsidR="00FD3F53" w:rsidRDefault="004009AA" w:rsidP="00FD3F53">
      <w:pPr>
        <w:pStyle w:val="ParaLevel2"/>
        <w:tabs>
          <w:tab w:val="clear" w:pos="1418"/>
          <w:tab w:val="num" w:pos="1134"/>
        </w:tabs>
        <w:ind w:left="1134" w:hanging="567"/>
      </w:pPr>
      <w:r>
        <w:lastRenderedPageBreak/>
        <w:t>First,</w:t>
      </w:r>
      <w:r w:rsidR="00FD3F53">
        <w:t xml:space="preserve"> there is</w:t>
      </w:r>
      <w:r>
        <w:t xml:space="preserve"> the importance of local authorities assuring themselves</w:t>
      </w:r>
      <w:r w:rsidR="00954556">
        <w:t xml:space="preserve"> and having </w:t>
      </w:r>
      <w:r w:rsidR="00AA7E8B">
        <w:t>“</w:t>
      </w:r>
      <w:r w:rsidR="00954556">
        <w:t>evidence</w:t>
      </w:r>
      <w:r w:rsidR="00AA7E8B">
        <w:t>”</w:t>
      </w:r>
      <w:r w:rsidR="00954556">
        <w:t xml:space="preserve"> that contractual fee levels are appropriate to provide the delivery of agreed care packages with agreed quality of care (</w:t>
      </w:r>
      <w:r w:rsidR="008F549D" w:rsidRPr="0034677E">
        <w:t xml:space="preserve">Statutory Guidance </w:t>
      </w:r>
      <w:r w:rsidR="00FD3F53" w:rsidRPr="0034677E">
        <w:t>§</w:t>
      </w:r>
      <w:r w:rsidR="00954556" w:rsidRPr="0034677E">
        <w:t>4</w:t>
      </w:r>
      <w:r w:rsidR="00954556">
        <w:t>.31).</w:t>
      </w:r>
    </w:p>
    <w:p w14:paraId="1427EBC7" w14:textId="77777777" w:rsidR="00B40875" w:rsidRDefault="00954556" w:rsidP="00FD3F53">
      <w:pPr>
        <w:pStyle w:val="ParaLevel2"/>
        <w:tabs>
          <w:tab w:val="clear" w:pos="1418"/>
          <w:tab w:val="num" w:pos="1134"/>
        </w:tabs>
        <w:ind w:left="1134" w:hanging="567"/>
      </w:pPr>
      <w:r>
        <w:t>Secondly,</w:t>
      </w:r>
      <w:r w:rsidR="00410F01">
        <w:t xml:space="preserve"> </w:t>
      </w:r>
      <w:r w:rsidR="00B40875">
        <w:t xml:space="preserve">there is </w:t>
      </w:r>
      <w:r w:rsidR="00410F01">
        <w:t>the importance of local authorit</w:t>
      </w:r>
      <w:r w:rsidR="00B40875">
        <w:t>ies</w:t>
      </w:r>
      <w:r w:rsidR="00410F01">
        <w:t xml:space="preserve"> understanding that a reasonable fee level allows for a reasonable rate of return by independent providers that is sufficient to allow the overall pool of efficient providers to remain sustainable in the long term (</w:t>
      </w:r>
      <w:r w:rsidR="00B40875">
        <w:t>§</w:t>
      </w:r>
      <w:r w:rsidR="00410F01">
        <w:t>4.31)</w:t>
      </w:r>
      <w:r w:rsidR="00400744">
        <w:t>.</w:t>
      </w:r>
    </w:p>
    <w:p w14:paraId="352D8821" w14:textId="19A6E1A3" w:rsidR="00ED2273" w:rsidRDefault="00400744" w:rsidP="008C6E0B">
      <w:pPr>
        <w:pStyle w:val="ParaLevel2"/>
        <w:tabs>
          <w:tab w:val="clear" w:pos="1418"/>
          <w:tab w:val="num" w:pos="1134"/>
        </w:tabs>
        <w:ind w:left="1134" w:hanging="567"/>
      </w:pPr>
      <w:r>
        <w:t xml:space="preserve">Thirdly, </w:t>
      </w:r>
      <w:r w:rsidR="00FD3FC3">
        <w:t>there is the point that</w:t>
      </w:r>
      <w:r>
        <w:t xml:space="preserve"> local authorities must not undertake any actions which may threaten the sustainability of the market as a whole –</w:t>
      </w:r>
      <w:r w:rsidR="003261B3">
        <w:t xml:space="preserve"> the pool of providers able to deliver services of an appropriate quality – by setting fee levels below an amount which is not sustainable for providers in the long-term (</w:t>
      </w:r>
      <w:r w:rsidR="00FD3FC3">
        <w:t>§</w:t>
      </w:r>
      <w:r w:rsidR="003261B3">
        <w:t>4.35).</w:t>
      </w:r>
    </w:p>
    <w:p w14:paraId="3C6ABE1D" w14:textId="6F2454FC" w:rsidR="0056796A" w:rsidRDefault="00240B03" w:rsidP="005D6826">
      <w:pPr>
        <w:pStyle w:val="ParaLevel1"/>
        <w:tabs>
          <w:tab w:val="clear" w:pos="720"/>
          <w:tab w:val="left" w:pos="567"/>
        </w:tabs>
        <w:ind w:left="567" w:hanging="567"/>
      </w:pPr>
      <w:r w:rsidRPr="0034677E">
        <w:t>I was also</w:t>
      </w:r>
      <w:r w:rsidR="00446EB9" w:rsidRPr="0034677E">
        <w:t xml:space="preserve"> shown</w:t>
      </w:r>
      <w:r w:rsidR="00BE6F0A" w:rsidRPr="0034677E">
        <w:t xml:space="preserve"> </w:t>
      </w:r>
      <w:r w:rsidR="0057022E" w:rsidRPr="0034677E">
        <w:t>several passages from</w:t>
      </w:r>
      <w:r w:rsidR="00BE6F0A" w:rsidRPr="0034677E">
        <w:t xml:space="preserve"> the </w:t>
      </w:r>
      <w:r w:rsidR="00446EB9" w:rsidRPr="0034677E">
        <w:t>MS</w:t>
      </w:r>
      <w:r w:rsidR="00FB4809">
        <w:t>F</w:t>
      </w:r>
      <w:r w:rsidR="00446EB9" w:rsidRPr="0034677E">
        <w:t xml:space="preserve"> N</w:t>
      </w:r>
      <w:r w:rsidR="00BE6F0A" w:rsidRPr="0034677E">
        <w:t>on-</w:t>
      </w:r>
      <w:r w:rsidR="00446EB9" w:rsidRPr="0034677E">
        <w:t>S</w:t>
      </w:r>
      <w:r w:rsidR="00BE6F0A" w:rsidRPr="0034677E">
        <w:t xml:space="preserve">tatutory </w:t>
      </w:r>
      <w:r w:rsidR="00446EB9" w:rsidRPr="0034677E">
        <w:t>G</w:t>
      </w:r>
      <w:r w:rsidR="00BE6F0A" w:rsidRPr="0034677E">
        <w:t>uidance</w:t>
      </w:r>
      <w:r w:rsidR="00446EB9" w:rsidRPr="0034677E">
        <w:t xml:space="preserve"> (</w:t>
      </w:r>
      <w:r w:rsidR="00FB4809">
        <w:t>24.3.22</w:t>
      </w:r>
      <w:r w:rsidR="00446EB9" w:rsidRPr="0034677E">
        <w:t>)</w:t>
      </w:r>
      <w:r w:rsidR="0057022E" w:rsidRPr="0034677E">
        <w:t xml:space="preserve">. The </w:t>
      </w:r>
      <w:r w:rsidR="0057022E">
        <w:t>“MS” in MS</w:t>
      </w:r>
      <w:r w:rsidR="00FB4809">
        <w:t>F</w:t>
      </w:r>
      <w:r w:rsidR="0057022E">
        <w:t xml:space="preserve"> Fund </w:t>
      </w:r>
      <w:r w:rsidR="009F1FD9">
        <w:t>stands for</w:t>
      </w:r>
      <w:r w:rsidR="0057022E">
        <w:t xml:space="preserve"> “market sustainability”.</w:t>
      </w:r>
      <w:r w:rsidR="001D4BEE">
        <w:t xml:space="preserve"> Here are the key points:</w:t>
      </w:r>
    </w:p>
    <w:p w14:paraId="15D5969E" w14:textId="66A7229E" w:rsidR="00161E54" w:rsidRDefault="00303E30" w:rsidP="0056796A">
      <w:pPr>
        <w:pStyle w:val="ParaLevel2"/>
        <w:tabs>
          <w:tab w:val="clear" w:pos="1418"/>
        </w:tabs>
        <w:ind w:left="1134" w:hanging="567"/>
      </w:pPr>
      <w:r>
        <w:t xml:space="preserve">First, </w:t>
      </w:r>
      <w:r w:rsidR="00161E54">
        <w:t xml:space="preserve">there is the point that </w:t>
      </w:r>
      <w:r>
        <w:t>a sustainable market is one which has a sufficient supply of services</w:t>
      </w:r>
      <w:r w:rsidR="0048306A">
        <w:t xml:space="preserve"> but with provider entry and exit, investment, innovation, choice for people who draw on care, and sufficient workforce supply; a market which operates in an efficient and effective way</w:t>
      </w:r>
      <w:r w:rsidR="00DD3482">
        <w:t xml:space="preserve"> (</w:t>
      </w:r>
      <w:r w:rsidR="00C76029">
        <w:t>G</w:t>
      </w:r>
      <w:r w:rsidR="00DD3482">
        <w:t>lossary</w:t>
      </w:r>
      <w:r w:rsidR="00C76029">
        <w:t xml:space="preserve">, </w:t>
      </w:r>
      <w:r w:rsidR="001B497B">
        <w:t>“Sustainable market”</w:t>
      </w:r>
      <w:r w:rsidR="00DD3482">
        <w:t>).</w:t>
      </w:r>
    </w:p>
    <w:p w14:paraId="728EC7FA" w14:textId="7A7093A6" w:rsidR="009528AB" w:rsidRDefault="0080647F" w:rsidP="0056796A">
      <w:pPr>
        <w:pStyle w:val="ParaLevel2"/>
        <w:tabs>
          <w:tab w:val="clear" w:pos="1418"/>
        </w:tabs>
        <w:ind w:left="1134" w:hanging="567"/>
      </w:pPr>
      <w:r>
        <w:t xml:space="preserve">Secondly, </w:t>
      </w:r>
      <w:r w:rsidR="003C2D60">
        <w:t xml:space="preserve">there is the point that </w:t>
      </w:r>
      <w:r>
        <w:t>the broad definition of market sustainability</w:t>
      </w:r>
      <w:r w:rsidR="00B77956">
        <w:t xml:space="preserve"> set out in the 2014 Act places a duty on local authorities to assure themselves and have </w:t>
      </w:r>
      <w:r w:rsidR="0057022E">
        <w:t>“</w:t>
      </w:r>
      <w:r w:rsidR="00B77956">
        <w:t>evidence</w:t>
      </w:r>
      <w:r w:rsidR="0057022E">
        <w:t>”</w:t>
      </w:r>
      <w:r w:rsidR="00B77956">
        <w:t xml:space="preserve"> that fee levels are appropriate to provide the agreed quality of care</w:t>
      </w:r>
      <w:r w:rsidR="0057022E">
        <w:t xml:space="preserve"> (see §</w:t>
      </w:r>
      <w:r w:rsidR="002A3B6F">
        <w:t>12i</w:t>
      </w:r>
      <w:r w:rsidR="0057022E">
        <w:t xml:space="preserve"> above)</w:t>
      </w:r>
      <w:r w:rsidR="00B77956">
        <w:t>, and also enable providers effectively to support people who draw on care and invest in staff development, innovation and improvement (</w:t>
      </w:r>
      <w:r w:rsidR="001B497B">
        <w:t>M</w:t>
      </w:r>
      <w:r w:rsidR="00DF5A65">
        <w:t xml:space="preserve">arket </w:t>
      </w:r>
      <w:r w:rsidR="001B497B">
        <w:t>S</w:t>
      </w:r>
      <w:r w:rsidR="00DF5A65">
        <w:t xml:space="preserve">ustainability </w:t>
      </w:r>
      <w:r w:rsidR="001B497B">
        <w:t>P</w:t>
      </w:r>
      <w:r w:rsidR="00DF5A65">
        <w:t xml:space="preserve">lans, </w:t>
      </w:r>
      <w:r w:rsidR="001B497B">
        <w:t>I</w:t>
      </w:r>
      <w:r w:rsidR="00DF5A65">
        <w:t>ntroduction).</w:t>
      </w:r>
    </w:p>
    <w:p w14:paraId="6C34F82B" w14:textId="54A46183" w:rsidR="000A3606" w:rsidRPr="00EB352D" w:rsidRDefault="00DF5A65" w:rsidP="00EB352D">
      <w:pPr>
        <w:pStyle w:val="ParaLevel2"/>
        <w:tabs>
          <w:tab w:val="clear" w:pos="1418"/>
        </w:tabs>
        <w:ind w:left="1134" w:hanging="567"/>
      </w:pPr>
      <w:r>
        <w:t xml:space="preserve">Thirdly, </w:t>
      </w:r>
      <w:r w:rsidR="009528AB">
        <w:t xml:space="preserve">there is the point that </w:t>
      </w:r>
      <w:r>
        <w:t>a sustainable care market –</w:t>
      </w:r>
      <w:r w:rsidR="00C27E40">
        <w:t xml:space="preserve"> which operates in an efficient and effective way – can be indicated by: sufficient supply of services to ensure continuity of care with minimal disruption in the event of providers exiting from the market; a range of high quality services for people to choose from</w:t>
      </w:r>
      <w:r w:rsidR="004844A6">
        <w:t>; sufficient investment in its workforce to enable the attraction and retention of high quality care staff; evidence of innovation and service diversity able to evolve and meet changing needs; and being attractive to new market entrants and able to manage and offset the impact</w:t>
      </w:r>
      <w:r w:rsidR="00C37FB4">
        <w:t xml:space="preserve"> of future market changes (</w:t>
      </w:r>
      <w:r w:rsidR="005E65C0">
        <w:t>Market Sustainability Plans, D</w:t>
      </w:r>
      <w:r w:rsidR="00C37FB4">
        <w:t xml:space="preserve">efining </w:t>
      </w:r>
      <w:r w:rsidR="005E65C0">
        <w:t>‘M</w:t>
      </w:r>
      <w:r w:rsidR="00C37FB4">
        <w:t xml:space="preserve">arket </w:t>
      </w:r>
      <w:r w:rsidR="005E65C0">
        <w:t>S</w:t>
      </w:r>
      <w:r w:rsidR="00C37FB4">
        <w:t>ustainability</w:t>
      </w:r>
      <w:r w:rsidR="005E65C0">
        <w:t>’</w:t>
      </w:r>
      <w:r w:rsidR="00C37FB4">
        <w:t>)</w:t>
      </w:r>
      <w:r w:rsidR="005D6826">
        <w:t>.</w:t>
      </w:r>
    </w:p>
    <w:p w14:paraId="713C3D12" w14:textId="0D41C31A" w:rsidR="00EB352D" w:rsidRPr="00EB352D" w:rsidRDefault="00BF0FCC" w:rsidP="00EB352D">
      <w:pPr>
        <w:pStyle w:val="ParaLevel1"/>
        <w:numPr>
          <w:ilvl w:val="0"/>
          <w:numId w:val="0"/>
        </w:numPr>
        <w:tabs>
          <w:tab w:val="left" w:pos="567"/>
        </w:tabs>
        <w:ind w:left="720" w:hanging="720"/>
        <w:rPr>
          <w:u w:val="single"/>
        </w:rPr>
      </w:pPr>
      <w:r>
        <w:rPr>
          <w:u w:val="single"/>
        </w:rPr>
        <w:t xml:space="preserve">The 2021 Agreement: </w:t>
      </w:r>
      <w:r w:rsidR="00DA651B">
        <w:rPr>
          <w:u w:val="single"/>
        </w:rPr>
        <w:t>Schedule 1 and Clause 17</w:t>
      </w:r>
    </w:p>
    <w:p w14:paraId="3D8FC799" w14:textId="68EA85C2" w:rsidR="005D6826" w:rsidRDefault="00951FC5" w:rsidP="005D6826">
      <w:pPr>
        <w:pStyle w:val="ParaLevel1"/>
        <w:tabs>
          <w:tab w:val="clear" w:pos="720"/>
          <w:tab w:val="left" w:pos="567"/>
        </w:tabs>
        <w:ind w:left="567" w:hanging="567"/>
      </w:pPr>
      <w:r>
        <w:t>Schedule 1 to the 2021 Agreement set out t</w:t>
      </w:r>
      <w:r w:rsidR="009E0FAF">
        <w:t xml:space="preserve">he </w:t>
      </w:r>
      <w:r w:rsidR="00EB352D">
        <w:t>B</w:t>
      </w:r>
      <w:r w:rsidR="009E0FAF">
        <w:t xml:space="preserve">asic </w:t>
      </w:r>
      <w:r w:rsidR="00EB352D">
        <w:t>C</w:t>
      </w:r>
      <w:r w:rsidR="009E0FAF">
        <w:t xml:space="preserve">ontractual </w:t>
      </w:r>
      <w:r w:rsidR="00EB352D">
        <w:t>M</w:t>
      </w:r>
      <w:r w:rsidR="009E0FAF">
        <w:t>echanism for the revision of banding rates</w:t>
      </w:r>
      <w:r w:rsidR="00EB352D">
        <w:t xml:space="preserve"> </w:t>
      </w:r>
      <w:r w:rsidR="000A3606">
        <w:t>as follows</w:t>
      </w:r>
      <w:r w:rsidR="009E0FAF">
        <w:t>:</w:t>
      </w:r>
    </w:p>
    <w:p w14:paraId="51F89969" w14:textId="47C9BA9D" w:rsidR="00347D64" w:rsidRPr="00E7759B" w:rsidRDefault="00347D64" w:rsidP="00246910">
      <w:pPr>
        <w:pStyle w:val="ParaLevel1"/>
        <w:numPr>
          <w:ilvl w:val="0"/>
          <w:numId w:val="0"/>
        </w:numPr>
        <w:tabs>
          <w:tab w:val="left" w:pos="567"/>
        </w:tabs>
        <w:ind w:left="1134"/>
        <w:rPr>
          <w:b/>
          <w:bCs/>
          <w:i/>
          <w:iCs/>
        </w:rPr>
      </w:pPr>
      <w:r w:rsidRPr="00E7759B">
        <w:rPr>
          <w:b/>
          <w:bCs/>
          <w:i/>
          <w:iCs/>
          <w:sz w:val="20"/>
          <w:szCs w:val="16"/>
        </w:rPr>
        <w:t>These fees are made up of two components, set out in the tables below. Element A of the fees</w:t>
      </w:r>
      <w:r w:rsidR="00246910" w:rsidRPr="00E7759B">
        <w:rPr>
          <w:b/>
          <w:bCs/>
          <w:i/>
          <w:iCs/>
          <w:sz w:val="20"/>
          <w:szCs w:val="16"/>
        </w:rPr>
        <w:t xml:space="preserve"> </w:t>
      </w:r>
      <w:r w:rsidRPr="00E7759B">
        <w:rPr>
          <w:b/>
          <w:bCs/>
          <w:i/>
          <w:iCs/>
          <w:sz w:val="20"/>
          <w:szCs w:val="16"/>
        </w:rPr>
        <w:t>will be uplifted from 1 April in each year in proportion to the percentage increase in the National Living Wage. Element B will be adjusted on 1 April in each year in proportion to the published 12-month CPIH inflation increase for January of the same year. The fees paid in each year will be the sum of these two components as adjusted</w:t>
      </w:r>
      <w:r w:rsidR="00E7759B" w:rsidRPr="00E7759B">
        <w:rPr>
          <w:b/>
          <w:bCs/>
          <w:i/>
          <w:iCs/>
          <w:sz w:val="20"/>
          <w:szCs w:val="16"/>
        </w:rPr>
        <w:t xml:space="preserve"> …</w:t>
      </w:r>
    </w:p>
    <w:p w14:paraId="75651D24" w14:textId="2A1E5689" w:rsidR="009E0FAF" w:rsidRDefault="00B50D44" w:rsidP="005D6826">
      <w:pPr>
        <w:pStyle w:val="ParaLevel1"/>
        <w:tabs>
          <w:tab w:val="clear" w:pos="720"/>
          <w:tab w:val="left" w:pos="567"/>
        </w:tabs>
        <w:ind w:left="567" w:hanging="567"/>
      </w:pPr>
      <w:r>
        <w:t xml:space="preserve">Clause 17 of the 2021 Agreement </w:t>
      </w:r>
      <w:r w:rsidR="00BB7585">
        <w:t>provide</w:t>
      </w:r>
      <w:r w:rsidR="00551D0E">
        <w:t>d</w:t>
      </w:r>
      <w:r w:rsidR="00BB7585">
        <w:t xml:space="preserve"> as follows</w:t>
      </w:r>
      <w:r>
        <w:t>:</w:t>
      </w:r>
    </w:p>
    <w:p w14:paraId="6AA40541" w14:textId="6FDBF9BB" w:rsidR="004D57A0" w:rsidRPr="00D2751C" w:rsidRDefault="004D57A0" w:rsidP="00A4645A">
      <w:pPr>
        <w:pStyle w:val="ParaLevel1"/>
        <w:numPr>
          <w:ilvl w:val="0"/>
          <w:numId w:val="0"/>
        </w:numPr>
        <w:tabs>
          <w:tab w:val="left" w:pos="567"/>
        </w:tabs>
        <w:ind w:left="1134"/>
        <w:rPr>
          <w:b/>
          <w:bCs/>
          <w:i/>
          <w:iCs/>
          <w:sz w:val="20"/>
          <w:szCs w:val="16"/>
        </w:rPr>
      </w:pPr>
      <w:r w:rsidRPr="00D2751C">
        <w:rPr>
          <w:b/>
          <w:bCs/>
          <w:i/>
          <w:iCs/>
          <w:sz w:val="20"/>
          <w:szCs w:val="16"/>
        </w:rPr>
        <w:t>17. CHANGES TO THE BANDING RATES</w:t>
      </w:r>
    </w:p>
    <w:p w14:paraId="08052BBE" w14:textId="3AE88E6C" w:rsidR="004D57A0" w:rsidRPr="00D2751C" w:rsidRDefault="004D57A0" w:rsidP="00A4645A">
      <w:pPr>
        <w:pStyle w:val="ParaLevel1"/>
        <w:numPr>
          <w:ilvl w:val="0"/>
          <w:numId w:val="0"/>
        </w:numPr>
        <w:tabs>
          <w:tab w:val="left" w:pos="567"/>
        </w:tabs>
        <w:ind w:left="1134"/>
        <w:rPr>
          <w:b/>
          <w:bCs/>
          <w:i/>
          <w:iCs/>
          <w:sz w:val="20"/>
          <w:szCs w:val="16"/>
        </w:rPr>
      </w:pPr>
      <w:r w:rsidRPr="00D2751C">
        <w:rPr>
          <w:b/>
          <w:bCs/>
          <w:i/>
          <w:iCs/>
          <w:sz w:val="20"/>
          <w:szCs w:val="16"/>
        </w:rPr>
        <w:lastRenderedPageBreak/>
        <w:t>17.1 The Banding Rates which shall apply from the Effective Date shall be as outlined in</w:t>
      </w:r>
      <w:r w:rsidR="00A4645A" w:rsidRPr="00D2751C">
        <w:rPr>
          <w:b/>
          <w:bCs/>
          <w:i/>
          <w:iCs/>
          <w:sz w:val="20"/>
          <w:szCs w:val="16"/>
        </w:rPr>
        <w:t xml:space="preserve"> </w:t>
      </w:r>
      <w:r w:rsidRPr="00D2751C">
        <w:rPr>
          <w:b/>
          <w:bCs/>
          <w:i/>
          <w:iCs/>
          <w:sz w:val="20"/>
          <w:szCs w:val="16"/>
        </w:rPr>
        <w:t>Schedule 1 (Banding Rates).</w:t>
      </w:r>
    </w:p>
    <w:p w14:paraId="442500A6" w14:textId="1DBB043A" w:rsidR="004D57A0" w:rsidRPr="00D2751C" w:rsidRDefault="004D57A0" w:rsidP="00A4645A">
      <w:pPr>
        <w:pStyle w:val="ParaLevel1"/>
        <w:numPr>
          <w:ilvl w:val="0"/>
          <w:numId w:val="0"/>
        </w:numPr>
        <w:tabs>
          <w:tab w:val="left" w:pos="567"/>
        </w:tabs>
        <w:ind w:left="1134"/>
        <w:rPr>
          <w:b/>
          <w:bCs/>
          <w:i/>
          <w:iCs/>
          <w:sz w:val="20"/>
          <w:szCs w:val="16"/>
        </w:rPr>
      </w:pPr>
      <w:r w:rsidRPr="00D2751C">
        <w:rPr>
          <w:b/>
          <w:bCs/>
          <w:i/>
          <w:iCs/>
          <w:sz w:val="20"/>
          <w:szCs w:val="16"/>
        </w:rPr>
        <w:t>17.2 These rates will be adjusted on 1 April each year as set out in Schedule 1, subject to the</w:t>
      </w:r>
      <w:r w:rsidR="00A4645A" w:rsidRPr="00D2751C">
        <w:rPr>
          <w:b/>
          <w:bCs/>
          <w:i/>
          <w:iCs/>
          <w:sz w:val="20"/>
          <w:szCs w:val="16"/>
        </w:rPr>
        <w:t xml:space="preserve"> </w:t>
      </w:r>
      <w:r w:rsidRPr="00D2751C">
        <w:rPr>
          <w:b/>
          <w:bCs/>
          <w:i/>
          <w:iCs/>
          <w:sz w:val="20"/>
          <w:szCs w:val="16"/>
        </w:rPr>
        <w:t>provisions of clause 17.4.</w:t>
      </w:r>
    </w:p>
    <w:p w14:paraId="3DA02FDD" w14:textId="545A9DD5" w:rsidR="00BF7736" w:rsidRPr="00D2751C" w:rsidRDefault="004D57A0" w:rsidP="00A4645A">
      <w:pPr>
        <w:pStyle w:val="ParaLevel1"/>
        <w:numPr>
          <w:ilvl w:val="0"/>
          <w:numId w:val="0"/>
        </w:numPr>
        <w:tabs>
          <w:tab w:val="left" w:pos="567"/>
        </w:tabs>
        <w:ind w:left="1134"/>
        <w:rPr>
          <w:b/>
          <w:bCs/>
          <w:i/>
          <w:iCs/>
          <w:sz w:val="20"/>
          <w:szCs w:val="16"/>
        </w:rPr>
      </w:pPr>
      <w:r w:rsidRPr="00D2751C">
        <w:rPr>
          <w:b/>
          <w:bCs/>
          <w:i/>
          <w:iCs/>
          <w:sz w:val="20"/>
          <w:szCs w:val="16"/>
        </w:rPr>
        <w:t>17.3 The Bandings which will apply to each Provider, will be applied as outlined in Condition</w:t>
      </w:r>
      <w:r w:rsidR="00A4645A" w:rsidRPr="00D2751C">
        <w:rPr>
          <w:b/>
          <w:bCs/>
          <w:i/>
          <w:iCs/>
          <w:sz w:val="20"/>
          <w:szCs w:val="16"/>
        </w:rPr>
        <w:t xml:space="preserve"> </w:t>
      </w:r>
      <w:r w:rsidRPr="00D2751C">
        <w:rPr>
          <w:b/>
          <w:bCs/>
          <w:i/>
          <w:iCs/>
          <w:sz w:val="20"/>
          <w:szCs w:val="16"/>
        </w:rPr>
        <w:t>33 (Quality Payments Scheme)</w:t>
      </w:r>
      <w:r w:rsidR="00BF7736" w:rsidRPr="00D2751C">
        <w:rPr>
          <w:b/>
          <w:bCs/>
          <w:i/>
          <w:iCs/>
          <w:sz w:val="20"/>
          <w:szCs w:val="16"/>
        </w:rPr>
        <w:t>.</w:t>
      </w:r>
    </w:p>
    <w:p w14:paraId="6534044C" w14:textId="35DE8B87" w:rsidR="00D2751C" w:rsidRPr="00D2751C" w:rsidRDefault="004D57A0" w:rsidP="00D2751C">
      <w:pPr>
        <w:pStyle w:val="ParaLevel1"/>
        <w:numPr>
          <w:ilvl w:val="0"/>
          <w:numId w:val="0"/>
        </w:numPr>
        <w:tabs>
          <w:tab w:val="left" w:pos="567"/>
        </w:tabs>
        <w:ind w:left="1134"/>
        <w:rPr>
          <w:b/>
          <w:bCs/>
          <w:i/>
          <w:iCs/>
          <w:sz w:val="20"/>
          <w:szCs w:val="16"/>
        </w:rPr>
      </w:pPr>
      <w:r w:rsidRPr="00D2751C">
        <w:rPr>
          <w:b/>
          <w:bCs/>
          <w:i/>
          <w:iCs/>
          <w:sz w:val="20"/>
          <w:szCs w:val="16"/>
        </w:rPr>
        <w:t>17.4 Before the end of January in each year during the period of this Agreement, the Council</w:t>
      </w:r>
      <w:r w:rsidR="00D2751C" w:rsidRPr="00D2751C">
        <w:rPr>
          <w:b/>
          <w:bCs/>
          <w:i/>
          <w:iCs/>
          <w:sz w:val="20"/>
          <w:szCs w:val="16"/>
        </w:rPr>
        <w:t xml:space="preserve"> </w:t>
      </w:r>
      <w:r w:rsidRPr="00D2751C">
        <w:rPr>
          <w:b/>
          <w:bCs/>
          <w:i/>
          <w:iCs/>
          <w:sz w:val="20"/>
          <w:szCs w:val="16"/>
        </w:rPr>
        <w:t xml:space="preserve">will </w:t>
      </w:r>
      <w:bookmarkStart w:id="4" w:name="_Hlk166932498"/>
      <w:r w:rsidRPr="00D2751C">
        <w:rPr>
          <w:b/>
          <w:bCs/>
          <w:i/>
          <w:iCs/>
          <w:sz w:val="20"/>
          <w:szCs w:val="16"/>
        </w:rPr>
        <w:t>send a letter to the Provider (“the Annual Fee Review Letter”). In this letter the Council will</w:t>
      </w:r>
      <w:r w:rsidR="00BF7736" w:rsidRPr="00D2751C">
        <w:rPr>
          <w:b/>
          <w:bCs/>
          <w:i/>
          <w:iCs/>
          <w:sz w:val="20"/>
          <w:szCs w:val="16"/>
        </w:rPr>
        <w:t xml:space="preserve"> </w:t>
      </w:r>
      <w:r w:rsidRPr="00D2751C">
        <w:rPr>
          <w:b/>
          <w:bCs/>
          <w:i/>
          <w:iCs/>
          <w:sz w:val="20"/>
          <w:szCs w:val="16"/>
        </w:rPr>
        <w:t>confirm whether it has become aware of any information which suggests that the Banding</w:t>
      </w:r>
      <w:r w:rsidR="00D2751C" w:rsidRPr="00D2751C">
        <w:rPr>
          <w:b/>
          <w:bCs/>
          <w:i/>
          <w:iCs/>
          <w:sz w:val="20"/>
          <w:szCs w:val="16"/>
        </w:rPr>
        <w:t xml:space="preserve"> </w:t>
      </w:r>
      <w:r w:rsidRPr="00D2751C">
        <w:rPr>
          <w:b/>
          <w:bCs/>
          <w:i/>
          <w:iCs/>
          <w:sz w:val="20"/>
          <w:szCs w:val="16"/>
        </w:rPr>
        <w:t>Rates may not be sufficient to sustain the efficient and effective operation of a market in care</w:t>
      </w:r>
      <w:r w:rsidR="00D2751C" w:rsidRPr="00D2751C">
        <w:rPr>
          <w:b/>
          <w:bCs/>
          <w:i/>
          <w:iCs/>
          <w:sz w:val="20"/>
          <w:szCs w:val="16"/>
        </w:rPr>
        <w:t xml:space="preserve"> </w:t>
      </w:r>
      <w:r w:rsidRPr="00D2751C">
        <w:rPr>
          <w:b/>
          <w:bCs/>
          <w:i/>
          <w:iCs/>
          <w:sz w:val="20"/>
          <w:szCs w:val="16"/>
        </w:rPr>
        <w:t>home accommodation for older people in Northumberland. If the Council has received by the</w:t>
      </w:r>
      <w:r w:rsidR="00D2751C" w:rsidRPr="00D2751C">
        <w:rPr>
          <w:b/>
          <w:bCs/>
          <w:i/>
          <w:iCs/>
          <w:sz w:val="20"/>
          <w:szCs w:val="16"/>
        </w:rPr>
        <w:t xml:space="preserve"> </w:t>
      </w:r>
      <w:r w:rsidRPr="00D2751C">
        <w:rPr>
          <w:b/>
          <w:bCs/>
          <w:i/>
          <w:iCs/>
          <w:sz w:val="20"/>
          <w:szCs w:val="16"/>
        </w:rPr>
        <w:t>preceding 31 December a written communication from the Provider which puts forward</w:t>
      </w:r>
      <w:r w:rsidR="00D2751C" w:rsidRPr="00D2751C">
        <w:rPr>
          <w:b/>
          <w:bCs/>
          <w:i/>
          <w:iCs/>
          <w:sz w:val="20"/>
          <w:szCs w:val="16"/>
        </w:rPr>
        <w:t xml:space="preserve"> </w:t>
      </w:r>
      <w:r w:rsidRPr="00D2751C">
        <w:rPr>
          <w:b/>
          <w:bCs/>
          <w:i/>
          <w:iCs/>
          <w:sz w:val="20"/>
          <w:szCs w:val="16"/>
        </w:rPr>
        <w:t>information which the Provider states is in its view evidence that the Banding Rates are</w:t>
      </w:r>
      <w:r w:rsidR="00D2751C" w:rsidRPr="00D2751C">
        <w:rPr>
          <w:b/>
          <w:bCs/>
          <w:i/>
          <w:iCs/>
          <w:sz w:val="20"/>
          <w:szCs w:val="16"/>
        </w:rPr>
        <w:t xml:space="preserve"> </w:t>
      </w:r>
      <w:r w:rsidRPr="00D2751C">
        <w:rPr>
          <w:b/>
          <w:bCs/>
          <w:i/>
          <w:iCs/>
          <w:sz w:val="20"/>
          <w:szCs w:val="16"/>
        </w:rPr>
        <w:t>insufficient, the Council must in its Annual Fee Review Letter refer to that information, and set</w:t>
      </w:r>
      <w:r w:rsidR="00D2751C" w:rsidRPr="00D2751C">
        <w:rPr>
          <w:b/>
          <w:bCs/>
          <w:i/>
          <w:iCs/>
          <w:sz w:val="20"/>
          <w:szCs w:val="16"/>
        </w:rPr>
        <w:t xml:space="preserve"> </w:t>
      </w:r>
      <w:r w:rsidRPr="00D2751C">
        <w:rPr>
          <w:b/>
          <w:bCs/>
          <w:i/>
          <w:iCs/>
          <w:sz w:val="20"/>
          <w:szCs w:val="16"/>
        </w:rPr>
        <w:t>out its view as to its relevance. If in the view of the Council, the balance of all available</w:t>
      </w:r>
      <w:r w:rsidR="00D2751C" w:rsidRPr="00D2751C">
        <w:rPr>
          <w:b/>
          <w:bCs/>
          <w:i/>
          <w:iCs/>
          <w:sz w:val="20"/>
          <w:szCs w:val="16"/>
        </w:rPr>
        <w:t xml:space="preserve"> </w:t>
      </w:r>
      <w:r w:rsidRPr="00D2751C">
        <w:rPr>
          <w:b/>
          <w:bCs/>
          <w:i/>
          <w:iCs/>
          <w:sz w:val="20"/>
          <w:szCs w:val="16"/>
        </w:rPr>
        <w:t>evidence is that the Banding Rates would otherwise not be sufficient, it must include with the</w:t>
      </w:r>
      <w:r w:rsidR="00D2751C" w:rsidRPr="00D2751C">
        <w:rPr>
          <w:b/>
          <w:bCs/>
          <w:i/>
          <w:iCs/>
          <w:sz w:val="20"/>
          <w:szCs w:val="16"/>
        </w:rPr>
        <w:t xml:space="preserve"> </w:t>
      </w:r>
      <w:r w:rsidRPr="00D2751C">
        <w:rPr>
          <w:b/>
          <w:bCs/>
          <w:i/>
          <w:iCs/>
          <w:sz w:val="20"/>
          <w:szCs w:val="16"/>
        </w:rPr>
        <w:t>Annual Fee Review Letter a proposed variation whose effect is to increase some or all of the</w:t>
      </w:r>
      <w:r w:rsidR="00D2751C" w:rsidRPr="00D2751C">
        <w:rPr>
          <w:b/>
          <w:bCs/>
          <w:i/>
          <w:iCs/>
          <w:sz w:val="20"/>
          <w:szCs w:val="16"/>
        </w:rPr>
        <w:t xml:space="preserve"> </w:t>
      </w:r>
      <w:r w:rsidRPr="00D2751C">
        <w:rPr>
          <w:b/>
          <w:bCs/>
          <w:i/>
          <w:iCs/>
          <w:sz w:val="20"/>
          <w:szCs w:val="16"/>
        </w:rPr>
        <w:t>Banding Rates from the following 1 April by more than the uplift set out in Schedule 1.</w:t>
      </w:r>
      <w:bookmarkEnd w:id="4"/>
    </w:p>
    <w:p w14:paraId="6D69F839" w14:textId="19B0E0CB" w:rsidR="00A4645A" w:rsidRPr="00D2751C" w:rsidRDefault="004D57A0" w:rsidP="00D2751C">
      <w:pPr>
        <w:pStyle w:val="ParaLevel1"/>
        <w:numPr>
          <w:ilvl w:val="0"/>
          <w:numId w:val="0"/>
        </w:numPr>
        <w:tabs>
          <w:tab w:val="left" w:pos="567"/>
        </w:tabs>
        <w:ind w:left="1134"/>
        <w:rPr>
          <w:b/>
          <w:bCs/>
          <w:i/>
          <w:iCs/>
          <w:sz w:val="20"/>
          <w:szCs w:val="16"/>
        </w:rPr>
      </w:pPr>
      <w:r w:rsidRPr="00D2751C">
        <w:rPr>
          <w:b/>
          <w:bCs/>
          <w:i/>
          <w:iCs/>
          <w:sz w:val="20"/>
          <w:szCs w:val="16"/>
        </w:rPr>
        <w:t>17.5 A variation proposed under clause 17.4 may not include a proposal to adjust any of the</w:t>
      </w:r>
      <w:r w:rsidR="00D2751C" w:rsidRPr="00D2751C">
        <w:rPr>
          <w:b/>
          <w:bCs/>
          <w:i/>
          <w:iCs/>
          <w:sz w:val="20"/>
          <w:szCs w:val="16"/>
        </w:rPr>
        <w:t xml:space="preserve"> </w:t>
      </w:r>
      <w:r w:rsidRPr="00D2751C">
        <w:rPr>
          <w:b/>
          <w:bCs/>
          <w:i/>
          <w:iCs/>
          <w:sz w:val="20"/>
          <w:szCs w:val="16"/>
        </w:rPr>
        <w:t>Banding Rates to a level lower than the adjusted figures calculated as set out in Schedule 1.</w:t>
      </w:r>
      <w:r w:rsidR="00D2751C" w:rsidRPr="00D2751C">
        <w:rPr>
          <w:b/>
          <w:bCs/>
          <w:i/>
          <w:iCs/>
          <w:sz w:val="20"/>
          <w:szCs w:val="16"/>
        </w:rPr>
        <w:t xml:space="preserve"> </w:t>
      </w:r>
      <w:r w:rsidRPr="00D2751C">
        <w:rPr>
          <w:b/>
          <w:bCs/>
          <w:i/>
          <w:iCs/>
          <w:sz w:val="20"/>
          <w:szCs w:val="16"/>
        </w:rPr>
        <w:t>Such a variation may provide either that the uplifted Banding Rates will automatically become</w:t>
      </w:r>
      <w:r w:rsidR="00D2751C" w:rsidRPr="00D2751C">
        <w:rPr>
          <w:b/>
          <w:bCs/>
          <w:i/>
          <w:iCs/>
          <w:sz w:val="20"/>
          <w:szCs w:val="16"/>
        </w:rPr>
        <w:t xml:space="preserve"> </w:t>
      </w:r>
      <w:r w:rsidRPr="00D2751C">
        <w:rPr>
          <w:b/>
          <w:bCs/>
          <w:i/>
          <w:iCs/>
          <w:sz w:val="20"/>
          <w:szCs w:val="16"/>
        </w:rPr>
        <w:t>the base figures used on 1 April in subsequent years, or that they will be time-limited, or will</w:t>
      </w:r>
      <w:r w:rsidR="00D2751C" w:rsidRPr="00D2751C">
        <w:rPr>
          <w:b/>
          <w:bCs/>
          <w:i/>
          <w:iCs/>
          <w:sz w:val="20"/>
          <w:szCs w:val="16"/>
        </w:rPr>
        <w:t xml:space="preserve"> </w:t>
      </w:r>
      <w:r w:rsidRPr="00D2751C">
        <w:rPr>
          <w:b/>
          <w:bCs/>
          <w:i/>
          <w:iCs/>
          <w:sz w:val="20"/>
          <w:szCs w:val="16"/>
        </w:rPr>
        <w:t>be reviewed at a later date. If uplifts are to be time-limited or subject to review, the Annual Fee</w:t>
      </w:r>
      <w:r w:rsidR="00D2751C" w:rsidRPr="00D2751C">
        <w:rPr>
          <w:b/>
          <w:bCs/>
          <w:i/>
          <w:iCs/>
          <w:sz w:val="20"/>
          <w:szCs w:val="16"/>
        </w:rPr>
        <w:t xml:space="preserve"> </w:t>
      </w:r>
      <w:r w:rsidRPr="00D2751C">
        <w:rPr>
          <w:b/>
          <w:bCs/>
          <w:i/>
          <w:iCs/>
          <w:sz w:val="20"/>
          <w:szCs w:val="16"/>
        </w:rPr>
        <w:t>Review Letter must explain why the Council believes that to be appropriate.</w:t>
      </w:r>
    </w:p>
    <w:p w14:paraId="1D3B07B4" w14:textId="76A0FCA5" w:rsidR="004D57A0" w:rsidRPr="004D57A0" w:rsidRDefault="004D57A0" w:rsidP="00D2751C">
      <w:pPr>
        <w:pStyle w:val="ParaLevel1"/>
        <w:numPr>
          <w:ilvl w:val="0"/>
          <w:numId w:val="0"/>
        </w:numPr>
        <w:tabs>
          <w:tab w:val="left" w:pos="567"/>
        </w:tabs>
        <w:ind w:left="1134"/>
      </w:pPr>
      <w:r w:rsidRPr="00D2751C">
        <w:rPr>
          <w:b/>
          <w:bCs/>
          <w:i/>
          <w:iCs/>
          <w:sz w:val="20"/>
          <w:szCs w:val="16"/>
        </w:rPr>
        <w:t>17.6 For the avoidance of doubt, the Council will send the same Annual Fee Review Letter,</w:t>
      </w:r>
      <w:r w:rsidR="00D2751C" w:rsidRPr="00D2751C">
        <w:rPr>
          <w:b/>
          <w:bCs/>
          <w:i/>
          <w:iCs/>
          <w:sz w:val="20"/>
          <w:szCs w:val="16"/>
        </w:rPr>
        <w:t xml:space="preserve"> </w:t>
      </w:r>
      <w:r w:rsidRPr="00D2751C">
        <w:rPr>
          <w:b/>
          <w:bCs/>
          <w:i/>
          <w:iCs/>
          <w:sz w:val="20"/>
          <w:szCs w:val="16"/>
        </w:rPr>
        <w:t>and where applicable offer the same variation to all providers who have signed an Agreement</w:t>
      </w:r>
      <w:r w:rsidR="00D2751C" w:rsidRPr="00D2751C">
        <w:rPr>
          <w:b/>
          <w:bCs/>
          <w:i/>
          <w:iCs/>
          <w:sz w:val="20"/>
          <w:szCs w:val="16"/>
        </w:rPr>
        <w:t xml:space="preserve"> </w:t>
      </w:r>
      <w:r w:rsidRPr="00D2751C">
        <w:rPr>
          <w:b/>
          <w:bCs/>
          <w:i/>
          <w:iCs/>
          <w:sz w:val="20"/>
          <w:szCs w:val="16"/>
        </w:rPr>
        <w:t>in the same terms.</w:t>
      </w:r>
    </w:p>
    <w:p w14:paraId="6F395F45" w14:textId="63326949" w:rsidR="00EB352D" w:rsidRPr="00EB352D" w:rsidRDefault="00975176" w:rsidP="00EB352D">
      <w:pPr>
        <w:pStyle w:val="ParaLevel1"/>
        <w:numPr>
          <w:ilvl w:val="0"/>
          <w:numId w:val="0"/>
        </w:numPr>
        <w:tabs>
          <w:tab w:val="left" w:pos="567"/>
        </w:tabs>
        <w:ind w:left="720" w:hanging="720"/>
        <w:rPr>
          <w:u w:val="single"/>
        </w:rPr>
      </w:pPr>
      <w:r>
        <w:rPr>
          <w:u w:val="single"/>
        </w:rPr>
        <w:t xml:space="preserve">The </w:t>
      </w:r>
      <w:r w:rsidR="00240B03">
        <w:rPr>
          <w:u w:val="single"/>
        </w:rPr>
        <w:t xml:space="preserve">MSF Fund and MSI Fund </w:t>
      </w:r>
      <w:r w:rsidR="00EB352D" w:rsidRPr="00EB352D">
        <w:rPr>
          <w:u w:val="single"/>
        </w:rPr>
        <w:t>Grants</w:t>
      </w:r>
    </w:p>
    <w:p w14:paraId="6E50F104" w14:textId="5C92B89C" w:rsidR="00B50D44" w:rsidRDefault="00D12DB4" w:rsidP="005D6826">
      <w:pPr>
        <w:pStyle w:val="ParaLevel1"/>
        <w:tabs>
          <w:tab w:val="clear" w:pos="720"/>
          <w:tab w:val="left" w:pos="567"/>
        </w:tabs>
        <w:ind w:left="567" w:hanging="567"/>
      </w:pPr>
      <w:r>
        <w:t xml:space="preserve">Section </w:t>
      </w:r>
      <w:r w:rsidR="0041685D">
        <w:t xml:space="preserve">31 of the </w:t>
      </w:r>
      <w:r w:rsidR="001A6140">
        <w:t>2003 Act</w:t>
      </w:r>
      <w:r w:rsidR="0041685D">
        <w:t xml:space="preserve"> </w:t>
      </w:r>
      <w:r w:rsidR="00EB352D">
        <w:t>includes this</w:t>
      </w:r>
      <w:r w:rsidR="0041685D">
        <w:t>:</w:t>
      </w:r>
    </w:p>
    <w:p w14:paraId="6D69E994" w14:textId="51B60453" w:rsidR="00BD2F80" w:rsidRPr="00BD2F80" w:rsidRDefault="00A57780" w:rsidP="00BD2F80">
      <w:pPr>
        <w:pStyle w:val="ParaLevel1"/>
        <w:numPr>
          <w:ilvl w:val="0"/>
          <w:numId w:val="0"/>
        </w:numPr>
        <w:tabs>
          <w:tab w:val="left" w:pos="567"/>
        </w:tabs>
        <w:ind w:left="1134"/>
        <w:rPr>
          <w:b/>
          <w:bCs/>
          <w:i/>
          <w:iCs/>
        </w:rPr>
      </w:pPr>
      <w:r w:rsidRPr="00052B3E">
        <w:rPr>
          <w:b/>
          <w:bCs/>
          <w:i/>
          <w:iCs/>
          <w:sz w:val="20"/>
          <w:szCs w:val="16"/>
        </w:rPr>
        <w:t>31.</w:t>
      </w:r>
      <w:r w:rsidR="002472BC" w:rsidRPr="00052B3E">
        <w:rPr>
          <w:b/>
          <w:bCs/>
          <w:i/>
          <w:iCs/>
          <w:sz w:val="20"/>
          <w:szCs w:val="16"/>
        </w:rPr>
        <w:t xml:space="preserve"> </w:t>
      </w:r>
      <w:r w:rsidRPr="00052B3E">
        <w:rPr>
          <w:b/>
          <w:bCs/>
          <w:i/>
          <w:iCs/>
          <w:sz w:val="20"/>
          <w:szCs w:val="16"/>
        </w:rPr>
        <w:t xml:space="preserve">Power to pay grant. (1) A Minister of the Crown may pay a grant to a local authority </w:t>
      </w:r>
      <w:r w:rsidR="00EB352D">
        <w:rPr>
          <w:b/>
          <w:bCs/>
          <w:i/>
          <w:iCs/>
          <w:sz w:val="20"/>
          <w:szCs w:val="16"/>
        </w:rPr>
        <w:t>…</w:t>
      </w:r>
      <w:r w:rsidRPr="00052B3E">
        <w:rPr>
          <w:b/>
          <w:bCs/>
          <w:i/>
          <w:iCs/>
          <w:sz w:val="20"/>
          <w:szCs w:val="16"/>
        </w:rPr>
        <w:t xml:space="preserve"> towards expenditure incurred or to be incurred by it</w:t>
      </w:r>
      <w:r w:rsidR="00EB352D">
        <w:rPr>
          <w:b/>
          <w:bCs/>
          <w:i/>
          <w:iCs/>
          <w:sz w:val="20"/>
          <w:szCs w:val="16"/>
        </w:rPr>
        <w:t>…</w:t>
      </w:r>
      <w:r w:rsidRPr="00052B3E">
        <w:rPr>
          <w:b/>
          <w:bCs/>
          <w:i/>
          <w:iCs/>
          <w:sz w:val="20"/>
          <w:szCs w:val="16"/>
        </w:rPr>
        <w:t xml:space="preserve"> (3) The amount of a grant under this section and the manner of its payment are to be such as the person paying it may determine.</w:t>
      </w:r>
      <w:r w:rsidR="002472BC" w:rsidRPr="00052B3E">
        <w:rPr>
          <w:b/>
          <w:bCs/>
          <w:i/>
          <w:iCs/>
          <w:sz w:val="20"/>
          <w:szCs w:val="16"/>
        </w:rPr>
        <w:t xml:space="preserve"> </w:t>
      </w:r>
      <w:r w:rsidRPr="00052B3E">
        <w:rPr>
          <w:b/>
          <w:bCs/>
          <w:i/>
          <w:iCs/>
          <w:sz w:val="20"/>
          <w:szCs w:val="16"/>
        </w:rPr>
        <w:t>(4) A grant under this section may be paid on such conditions as the person paying it may determine.</w:t>
      </w:r>
      <w:r w:rsidR="002472BC" w:rsidRPr="00052B3E">
        <w:rPr>
          <w:b/>
          <w:bCs/>
          <w:i/>
          <w:iCs/>
          <w:sz w:val="20"/>
          <w:szCs w:val="16"/>
        </w:rPr>
        <w:t xml:space="preserve"> </w:t>
      </w:r>
      <w:r w:rsidRPr="00052B3E">
        <w:rPr>
          <w:b/>
          <w:bCs/>
          <w:i/>
          <w:iCs/>
          <w:sz w:val="20"/>
          <w:szCs w:val="16"/>
        </w:rPr>
        <w:t>(5) Conditions under subsection (4) may, in particular, include—</w:t>
      </w:r>
      <w:r w:rsidR="002472BC" w:rsidRPr="00052B3E">
        <w:rPr>
          <w:b/>
          <w:bCs/>
          <w:i/>
          <w:iCs/>
          <w:sz w:val="20"/>
          <w:szCs w:val="16"/>
        </w:rPr>
        <w:t xml:space="preserve"> </w:t>
      </w:r>
      <w:r w:rsidRPr="00052B3E">
        <w:rPr>
          <w:b/>
          <w:bCs/>
          <w:i/>
          <w:iCs/>
          <w:sz w:val="20"/>
          <w:szCs w:val="16"/>
        </w:rPr>
        <w:t>(a) provision as to the use of the grant;</w:t>
      </w:r>
      <w:r w:rsidR="002472BC" w:rsidRPr="00052B3E">
        <w:rPr>
          <w:b/>
          <w:bCs/>
          <w:i/>
          <w:iCs/>
          <w:sz w:val="20"/>
          <w:szCs w:val="16"/>
        </w:rPr>
        <w:t xml:space="preserve"> </w:t>
      </w:r>
      <w:r w:rsidRPr="00052B3E">
        <w:rPr>
          <w:b/>
          <w:bCs/>
          <w:i/>
          <w:iCs/>
          <w:sz w:val="20"/>
          <w:szCs w:val="16"/>
        </w:rPr>
        <w:t>(b) provision as to circumstances in which the whole or part of the grant must be repaid</w:t>
      </w:r>
      <w:r w:rsidR="00EB352D">
        <w:rPr>
          <w:b/>
          <w:bCs/>
          <w:i/>
          <w:iCs/>
          <w:sz w:val="20"/>
          <w:szCs w:val="16"/>
        </w:rPr>
        <w:t>…</w:t>
      </w:r>
    </w:p>
    <w:p w14:paraId="42B97D03" w14:textId="73F3DCC8" w:rsidR="0041685D" w:rsidRDefault="00E83105" w:rsidP="005D6826">
      <w:pPr>
        <w:pStyle w:val="ParaLevel1"/>
        <w:tabs>
          <w:tab w:val="clear" w:pos="720"/>
          <w:tab w:val="left" w:pos="567"/>
        </w:tabs>
        <w:ind w:left="567" w:hanging="567"/>
      </w:pPr>
      <w:r>
        <w:t>A number of</w:t>
      </w:r>
      <w:r w:rsidR="00C12165">
        <w:t xml:space="preserve"> features can be seen from</w:t>
      </w:r>
      <w:r w:rsidR="005A545A">
        <w:t xml:space="preserve"> the documents relating to the</w:t>
      </w:r>
      <w:r w:rsidR="009D719D">
        <w:t xml:space="preserve"> s.31 grants like the</w:t>
      </w:r>
      <w:r w:rsidR="00F4600D">
        <w:t xml:space="preserve"> </w:t>
      </w:r>
      <w:r w:rsidR="009D719D">
        <w:t xml:space="preserve">Council’s </w:t>
      </w:r>
      <w:r w:rsidR="004B7873">
        <w:t xml:space="preserve">MSF Fund </w:t>
      </w:r>
      <w:r w:rsidR="009D719D">
        <w:t>grant (£1.026m) and its MSI Fund grant (£3.56m)</w:t>
      </w:r>
      <w:r>
        <w:t>. In particular</w:t>
      </w:r>
      <w:r w:rsidR="004B7873">
        <w:t xml:space="preserve">: (1) </w:t>
      </w:r>
      <w:r w:rsidR="009D719D">
        <w:t>a Government</w:t>
      </w:r>
      <w:r w:rsidR="00FF6EEC">
        <w:t xml:space="preserve"> announcement</w:t>
      </w:r>
      <w:r w:rsidR="0070569D">
        <w:t xml:space="preserve"> describ</w:t>
      </w:r>
      <w:r w:rsidR="009D719D">
        <w:t>ing</w:t>
      </w:r>
      <w:r w:rsidR="0070569D">
        <w:t xml:space="preserve"> the nature of the grant and indicat</w:t>
      </w:r>
      <w:r w:rsidR="009D719D">
        <w:t>ing quantum;</w:t>
      </w:r>
      <w:r w:rsidR="0070569D">
        <w:t xml:space="preserve"> (2)</w:t>
      </w:r>
      <w:r w:rsidR="0096381D">
        <w:t xml:space="preserve"> </w:t>
      </w:r>
      <w:r w:rsidR="009D719D">
        <w:t>a Government Determination which</w:t>
      </w:r>
      <w:r w:rsidR="0096381D">
        <w:t xml:space="preserve"> sets out the grant </w:t>
      </w:r>
      <w:r w:rsidR="009D719D">
        <w:t>purpose and conditions;</w:t>
      </w:r>
      <w:r w:rsidR="00974287">
        <w:t xml:space="preserve"> (3) </w:t>
      </w:r>
      <w:r w:rsidR="009D719D">
        <w:t>Non-Statutory Guidance</w:t>
      </w:r>
      <w:r w:rsidR="00EF518A">
        <w:t xml:space="preserve"> to local authorities in relation to the grant</w:t>
      </w:r>
      <w:r w:rsidR="009D719D">
        <w:t>; (4)</w:t>
      </w:r>
      <w:r w:rsidR="00EF518A">
        <w:t xml:space="preserve"> the local authority’s </w:t>
      </w:r>
      <w:r w:rsidR="009D719D">
        <w:t>G</w:t>
      </w:r>
      <w:r w:rsidR="00EF518A">
        <w:t xml:space="preserve">rant </w:t>
      </w:r>
      <w:r w:rsidR="009D719D">
        <w:t>A</w:t>
      </w:r>
      <w:r w:rsidR="00EF518A">
        <w:t xml:space="preserve">llocation </w:t>
      </w:r>
      <w:r w:rsidR="009D719D">
        <w:t>D</w:t>
      </w:r>
      <w:r w:rsidR="00EF518A">
        <w:t xml:space="preserve">ecision </w:t>
      </w:r>
      <w:r w:rsidR="009D719D">
        <w:t>deciding how</w:t>
      </w:r>
      <w:r w:rsidR="00DF4079">
        <w:t xml:space="preserve"> to deploy the grant</w:t>
      </w:r>
      <w:r w:rsidR="009D719D">
        <w:t xml:space="preserve">; (5) </w:t>
      </w:r>
      <w:r w:rsidR="00975176">
        <w:t xml:space="preserve">local authority </w:t>
      </w:r>
      <w:r w:rsidR="009D719D">
        <w:t xml:space="preserve">reporting steps; and (6) </w:t>
      </w:r>
      <w:r w:rsidR="00975176">
        <w:t xml:space="preserve">Government </w:t>
      </w:r>
      <w:r w:rsidR="009D719D">
        <w:t>monitoring functions</w:t>
      </w:r>
      <w:r w:rsidR="00071754">
        <w:t>.</w:t>
      </w:r>
    </w:p>
    <w:p w14:paraId="745B75B0" w14:textId="02B62569" w:rsidR="00975176" w:rsidRDefault="00975176" w:rsidP="00975176">
      <w:pPr>
        <w:pStyle w:val="ParaLevel1"/>
        <w:tabs>
          <w:tab w:val="clear" w:pos="720"/>
          <w:tab w:val="left" w:pos="567"/>
        </w:tabs>
        <w:ind w:left="567" w:hanging="567"/>
      </w:pPr>
      <w:r>
        <w:t>Taking the Council’s MSF Fund grant (£1.026m): (1) The G</w:t>
      </w:r>
      <w:r w:rsidR="00947135">
        <w:t>overnment announcement was on 16 December 2021</w:t>
      </w:r>
      <w:r>
        <w:t xml:space="preserve"> (followed by</w:t>
      </w:r>
      <w:r w:rsidR="00947135">
        <w:t xml:space="preserve"> an impact assessment </w:t>
      </w:r>
      <w:r>
        <w:t>dated</w:t>
      </w:r>
      <w:r w:rsidR="00947135">
        <w:t xml:space="preserve"> 5 January 2022</w:t>
      </w:r>
      <w:r>
        <w:t>)</w:t>
      </w:r>
      <w:r w:rsidR="00947135">
        <w:t xml:space="preserve">. </w:t>
      </w:r>
      <w:r>
        <w:t xml:space="preserve">(2) The Government </w:t>
      </w:r>
      <w:r w:rsidRPr="00802DDD">
        <w:t>D</w:t>
      </w:r>
      <w:r w:rsidR="00947135" w:rsidRPr="00802DDD">
        <w:t>etermination was dated</w:t>
      </w:r>
      <w:r w:rsidR="007B022D" w:rsidRPr="00802DDD">
        <w:t xml:space="preserve"> 24 March 2022</w:t>
      </w:r>
      <w:r w:rsidR="00D102E6" w:rsidRPr="00802DDD">
        <w:t xml:space="preserve"> and contained the grant conditions (Annex B) </w:t>
      </w:r>
      <w:r w:rsidR="000320DB" w:rsidRPr="00802DDD">
        <w:t xml:space="preserve">including reporting requirements and a description of </w:t>
      </w:r>
      <w:r w:rsidRPr="00802DDD">
        <w:t xml:space="preserve">monitoring </w:t>
      </w:r>
      <w:r w:rsidRPr="00802DDD">
        <w:lastRenderedPageBreak/>
        <w:t>functions. (3) The MSF Non-Statutory Guidance was dated 29.3.22. (4) The Council’s</w:t>
      </w:r>
      <w:r w:rsidR="00546070" w:rsidRPr="00802DDD">
        <w:t xml:space="preserve"> </w:t>
      </w:r>
      <w:r w:rsidR="00263952" w:rsidRPr="00802DDD">
        <w:t xml:space="preserve">MSF </w:t>
      </w:r>
      <w:r w:rsidRPr="00802DDD">
        <w:t>G</w:t>
      </w:r>
      <w:r w:rsidR="00546070" w:rsidRPr="00802DDD">
        <w:t xml:space="preserve">rant </w:t>
      </w:r>
      <w:r w:rsidRPr="00802DDD">
        <w:t>A</w:t>
      </w:r>
      <w:r w:rsidR="00546070" w:rsidRPr="00802DDD">
        <w:t xml:space="preserve">llocation </w:t>
      </w:r>
      <w:r w:rsidRPr="00802DDD">
        <w:t>D</w:t>
      </w:r>
      <w:r w:rsidR="00546070" w:rsidRPr="00802DDD">
        <w:t>ecision was made on 11 October 2022.</w:t>
      </w:r>
      <w:r w:rsidRPr="00802DDD">
        <w:t xml:space="preserve"> (5) The Council’s reporting steps incl</w:t>
      </w:r>
      <w:r>
        <w:t xml:space="preserve">uded a care home Cost of Care Report and Draft Market Sustainability Plan (14 October 2022) and a Final Market Sustainability Plan (March 2023). </w:t>
      </w:r>
      <w:r w:rsidR="00B96A59">
        <w:t>(6) In the context of Government monitoring, the Claimant wrote on</w:t>
      </w:r>
      <w:r>
        <w:t xml:space="preserve"> 24 March 2023 </w:t>
      </w:r>
      <w:r w:rsidR="00B96A59">
        <w:t>raising</w:t>
      </w:r>
      <w:r>
        <w:t xml:space="preserve"> questions and concerns about the </w:t>
      </w:r>
      <w:r w:rsidR="00B96A59">
        <w:t>Grant Allocation Decision and the Government responded on 24</w:t>
      </w:r>
      <w:r>
        <w:t xml:space="preserve"> May 2023</w:t>
      </w:r>
      <w:r w:rsidR="00B96A59">
        <w:t>.</w:t>
      </w:r>
    </w:p>
    <w:p w14:paraId="23C175E2" w14:textId="7F993C23" w:rsidR="00263952" w:rsidRDefault="00263952" w:rsidP="00271213">
      <w:pPr>
        <w:pStyle w:val="ParaLevel1"/>
        <w:tabs>
          <w:tab w:val="clear" w:pos="720"/>
          <w:tab w:val="left" w:pos="567"/>
        </w:tabs>
        <w:ind w:left="567" w:hanging="567"/>
      </w:pPr>
      <w:r>
        <w:t>Taking the Council’s MSI Fund grant (£3.56m): (1) The Government announcement was on 19 December 2</w:t>
      </w:r>
      <w:r w:rsidRPr="00802DDD">
        <w:t xml:space="preserve">022. (2) The Government Determination was dated 29 March 2023 and contained the grant conditions (Annex B) including reporting requirements and a description of monitoring functions. (3) The MSI Non-Statutory Guidance was dated 29.3.23. (4) The Council’s </w:t>
      </w:r>
      <w:r w:rsidR="00271213" w:rsidRPr="00802DDD">
        <w:t xml:space="preserve">impugned </w:t>
      </w:r>
      <w:r w:rsidRPr="00802DDD">
        <w:t>MSI Grant Allocation Decision was made on 9 May 2023. (5) The</w:t>
      </w:r>
      <w:r>
        <w:t xml:space="preserve"> Council’s reporting steps included </w:t>
      </w:r>
      <w:r w:rsidR="00F81579">
        <w:t>an</w:t>
      </w:r>
      <w:r w:rsidR="00271213">
        <w:t xml:space="preserve"> Initial Report (24.5.23). (6) In the context of Government monitoring, I was shown a Government letter to local authorities dated 17 October 2023. I was told of no letter from the Claimant to Government.</w:t>
      </w:r>
    </w:p>
    <w:p w14:paraId="495A0D8B" w14:textId="307753D2" w:rsidR="00746910" w:rsidRPr="00746910" w:rsidRDefault="00C60951" w:rsidP="00746910">
      <w:pPr>
        <w:pStyle w:val="ParaLevel1"/>
        <w:numPr>
          <w:ilvl w:val="0"/>
          <w:numId w:val="0"/>
        </w:numPr>
        <w:tabs>
          <w:tab w:val="left" w:pos="567"/>
        </w:tabs>
        <w:rPr>
          <w:u w:val="single"/>
        </w:rPr>
      </w:pPr>
      <w:r>
        <w:rPr>
          <w:u w:val="single"/>
        </w:rPr>
        <w:t xml:space="preserve">The MSF and MSI </w:t>
      </w:r>
      <w:r w:rsidR="00D22DFB">
        <w:rPr>
          <w:u w:val="single"/>
        </w:rPr>
        <w:t xml:space="preserve">Fund </w:t>
      </w:r>
      <w:r w:rsidR="00746910" w:rsidRPr="00746910">
        <w:rPr>
          <w:u w:val="single"/>
        </w:rPr>
        <w:t>Grant Allocation Decisions</w:t>
      </w:r>
    </w:p>
    <w:p w14:paraId="51CBA631" w14:textId="4AD44214" w:rsidR="00753565" w:rsidRDefault="00746910" w:rsidP="00BA4BF9">
      <w:pPr>
        <w:pStyle w:val="ParaLevel1"/>
        <w:tabs>
          <w:tab w:val="clear" w:pos="720"/>
          <w:tab w:val="left" w:pos="567"/>
        </w:tabs>
        <w:ind w:left="567" w:hanging="567"/>
      </w:pPr>
      <w:r>
        <w:t xml:space="preserve">The Council’s October 2022 MSF Grant Allocation Decision </w:t>
      </w:r>
      <w:r w:rsidR="00BA4BF9">
        <w:t xml:space="preserve">during Year 2 </w:t>
      </w:r>
      <w:r>
        <w:t>included an allocation of £318,878 for spending associated with fee increases for home places for those aged 65 and over. In the event the spend was £330,905. This part of the MSF Fund grant was spent to fund the time-limited overall bump of 2.45% to fees. The Council’s thinking is seen from the report for the Cabinet meeting on 11 October 2022, containing the reasoned recommendation which was accepted.</w:t>
      </w:r>
      <w:r w:rsidR="00BA4BF9">
        <w:t xml:space="preserve"> </w:t>
      </w:r>
      <w:r w:rsidR="00271213">
        <w:t xml:space="preserve">The Council’s impugned May 2023 MSI Grant Allocation Decision </w:t>
      </w:r>
      <w:r w:rsidR="00BA4BF9">
        <w:t xml:space="preserve">during Year 3 </w:t>
      </w:r>
      <w:r w:rsidR="00271213">
        <w:t xml:space="preserve">included the allocation of £770k to fund the overall fee </w:t>
      </w:r>
      <w:r w:rsidR="00046A63">
        <w:t>increase of 1.5%</w:t>
      </w:r>
      <w:r w:rsidR="00271213">
        <w:t>. The Council’s thinking is seen from the report for the Cabinet meeting on 9 May 2023, containing the reasoned recommendation which was accepted.</w:t>
      </w:r>
    </w:p>
    <w:p w14:paraId="39F91F46" w14:textId="110339C7" w:rsidR="00271213" w:rsidRPr="00271213" w:rsidRDefault="00CA2E11" w:rsidP="00271213">
      <w:pPr>
        <w:pStyle w:val="ParaLevel1"/>
        <w:numPr>
          <w:ilvl w:val="0"/>
          <w:numId w:val="0"/>
        </w:numPr>
        <w:tabs>
          <w:tab w:val="left" w:pos="567"/>
        </w:tabs>
        <w:rPr>
          <w:u w:val="single"/>
        </w:rPr>
      </w:pPr>
      <w:r>
        <w:rPr>
          <w:u w:val="single"/>
        </w:rPr>
        <w:t xml:space="preserve">Annual Fee Increases: </w:t>
      </w:r>
      <w:r w:rsidR="00AF0F2A">
        <w:rPr>
          <w:u w:val="single"/>
        </w:rPr>
        <w:t>Illustrati</w:t>
      </w:r>
      <w:r w:rsidR="00C84969">
        <w:rPr>
          <w:u w:val="single"/>
        </w:rPr>
        <w:t>ve Alternatives</w:t>
      </w:r>
    </w:p>
    <w:p w14:paraId="543A24D3" w14:textId="7D16E9DC" w:rsidR="003358B6" w:rsidRDefault="008518ED" w:rsidP="005D6826">
      <w:pPr>
        <w:pStyle w:val="ParaLevel1"/>
        <w:tabs>
          <w:tab w:val="clear" w:pos="720"/>
          <w:tab w:val="left" w:pos="567"/>
        </w:tabs>
        <w:ind w:left="567" w:hanging="567"/>
      </w:pPr>
      <w:r>
        <w:t>The</w:t>
      </w:r>
      <w:r w:rsidR="00A565CD">
        <w:t xml:space="preserve"> </w:t>
      </w:r>
      <w:r w:rsidR="003358B6">
        <w:t>B</w:t>
      </w:r>
      <w:r w:rsidR="00A565CD">
        <w:t xml:space="preserve">asic </w:t>
      </w:r>
      <w:r w:rsidR="003358B6">
        <w:t>C</w:t>
      </w:r>
      <w:r w:rsidR="00A565CD">
        <w:t xml:space="preserve">ontractual </w:t>
      </w:r>
      <w:r w:rsidR="003358B6">
        <w:t>M</w:t>
      </w:r>
      <w:r w:rsidR="00A565CD">
        <w:t xml:space="preserve">echanism in </w:t>
      </w:r>
      <w:r w:rsidR="003358B6">
        <w:t>cl</w:t>
      </w:r>
      <w:r w:rsidR="009A4D88">
        <w:t xml:space="preserve">ause </w:t>
      </w:r>
      <w:r w:rsidR="00A565CD">
        <w:t>17</w:t>
      </w:r>
      <w:r w:rsidR="009A4D88">
        <w:t>.2</w:t>
      </w:r>
      <w:r w:rsidR="00A565CD">
        <w:t xml:space="preserve"> </w:t>
      </w:r>
      <w:r w:rsidR="00CD1EE9">
        <w:t xml:space="preserve">of, </w:t>
      </w:r>
      <w:r w:rsidR="00D53348">
        <w:t xml:space="preserve">and Schedule 1 </w:t>
      </w:r>
      <w:r w:rsidR="00CD1EE9">
        <w:t>to,</w:t>
      </w:r>
      <w:r w:rsidR="003358B6">
        <w:t xml:space="preserve"> the 2021 Agreement </w:t>
      </w:r>
      <w:r w:rsidR="00A565CD">
        <w:t xml:space="preserve">could have been designed </w:t>
      </w:r>
      <w:r w:rsidR="00D53348">
        <w:t>differently</w:t>
      </w:r>
      <w:r w:rsidR="00A565CD">
        <w:t xml:space="preserve">. </w:t>
      </w:r>
      <w:r w:rsidR="00EF04C8">
        <w:t>We can</w:t>
      </w:r>
      <w:r w:rsidR="00C57230">
        <w:t xml:space="preserve"> illustrate this</w:t>
      </w:r>
      <w:r w:rsidR="00EF04C8">
        <w:t xml:space="preserve"> by turning the clock back</w:t>
      </w:r>
      <w:r w:rsidR="00CD1EE9">
        <w:t xml:space="preserve"> </w:t>
      </w:r>
      <w:r w:rsidR="00084CC5">
        <w:t xml:space="preserve">from the events with which this case is concerned, </w:t>
      </w:r>
      <w:r w:rsidR="00CD1EE9">
        <w:t>to</w:t>
      </w:r>
      <w:r w:rsidR="00A565CD">
        <w:t xml:space="preserve"> March 2016</w:t>
      </w:r>
      <w:r w:rsidR="00CD1EE9">
        <w:t>. At that point</w:t>
      </w:r>
      <w:r w:rsidR="00A565CD">
        <w:t xml:space="preserve"> the </w:t>
      </w:r>
      <w:r w:rsidR="003358B6">
        <w:t>C</w:t>
      </w:r>
      <w:r w:rsidR="00A565CD">
        <w:t>ouncil had circulated</w:t>
      </w:r>
      <w:r w:rsidR="003719FB">
        <w:t xml:space="preserve"> a </w:t>
      </w:r>
      <w:r w:rsidR="000844A3">
        <w:t>proposed</w:t>
      </w:r>
      <w:r w:rsidR="00757E70">
        <w:t xml:space="preserve"> SP Contract Arrangement</w:t>
      </w:r>
      <w:r w:rsidR="003719FB">
        <w:t xml:space="preserve"> </w:t>
      </w:r>
      <w:r w:rsidR="003358B6">
        <w:t xml:space="preserve">for the </w:t>
      </w:r>
      <w:r w:rsidR="000844A3">
        <w:t>years starting in April 2016</w:t>
      </w:r>
      <w:r w:rsidR="003358B6">
        <w:t xml:space="preserve">. This </w:t>
      </w:r>
      <w:r w:rsidR="000844A3">
        <w:t xml:space="preserve">draft agreement </w:t>
      </w:r>
      <w:r w:rsidR="003358B6">
        <w:t>had</w:t>
      </w:r>
      <w:r w:rsidR="003719FB">
        <w:t xml:space="preserve"> contained (at </w:t>
      </w:r>
      <w:r w:rsidR="003358B6">
        <w:t>S</w:t>
      </w:r>
      <w:r w:rsidR="003719FB">
        <w:t>ch</w:t>
      </w:r>
      <w:r w:rsidR="000844A3">
        <w:t>edule</w:t>
      </w:r>
      <w:r w:rsidR="003719FB">
        <w:t xml:space="preserve"> 2) a </w:t>
      </w:r>
      <w:r w:rsidR="006853AE">
        <w:t xml:space="preserve">contractual </w:t>
      </w:r>
      <w:r w:rsidR="003719FB">
        <w:t xml:space="preserve">mechanism for adjustments made from </w:t>
      </w:r>
      <w:r w:rsidR="003358B6">
        <w:t>1</w:t>
      </w:r>
      <w:r w:rsidR="003719FB">
        <w:t xml:space="preserve"> April </w:t>
      </w:r>
      <w:r w:rsidR="003358B6">
        <w:t>each year</w:t>
      </w:r>
      <w:r w:rsidR="003719FB">
        <w:t>.</w:t>
      </w:r>
      <w:r w:rsidR="00374E69">
        <w:t xml:space="preserve"> </w:t>
      </w:r>
      <w:r w:rsidR="003358B6">
        <w:t>There was an</w:t>
      </w:r>
      <w:r w:rsidR="00374E69">
        <w:t xml:space="preserve"> apportionment of 20 separate cost items</w:t>
      </w:r>
      <w:r w:rsidR="00DD21B5">
        <w:t xml:space="preserve">, each with its </w:t>
      </w:r>
      <w:r w:rsidR="003358B6">
        <w:t xml:space="preserve">own </w:t>
      </w:r>
      <w:r w:rsidR="00F623F3">
        <w:t>portion (</w:t>
      </w:r>
      <w:r w:rsidR="00DD21B5">
        <w:t>percentage</w:t>
      </w:r>
      <w:r w:rsidR="00F623F3">
        <w:t>)</w:t>
      </w:r>
      <w:r w:rsidR="003358B6">
        <w:t xml:space="preserve"> of spend</w:t>
      </w:r>
      <w:r w:rsidR="00DD21B5">
        <w:t>.</w:t>
      </w:r>
      <w:r w:rsidR="003358B6">
        <w:t xml:space="preserve"> Each of the 20 separate cost items </w:t>
      </w:r>
      <w:r w:rsidR="006853AE">
        <w:t xml:space="preserve">then </w:t>
      </w:r>
      <w:r w:rsidR="003358B6">
        <w:t>had its own index identified as referable to that item. That index would then be used to calculate an appropriate increase for the portion of costs to which it related. For staffing costs (</w:t>
      </w:r>
      <w:r w:rsidR="00F623F3">
        <w:t xml:space="preserve">a portion of </w:t>
      </w:r>
      <w:r w:rsidR="003358B6">
        <w:t>43.76%)</w:t>
      </w:r>
      <w:r w:rsidR="00F623F3">
        <w:t>,</w:t>
      </w:r>
      <w:r w:rsidR="003358B6">
        <w:t xml:space="preserve"> the index used would be the percentage increase in the National Living Wage. This became </w:t>
      </w:r>
      <w:r w:rsidR="00F623F3">
        <w:t xml:space="preserve">the Basic Contractual Mechanism </w:t>
      </w:r>
      <w:r w:rsidR="009F15D2">
        <w:t xml:space="preserve">in the 2021 Agreement </w:t>
      </w:r>
      <w:r w:rsidR="003358B6">
        <w:t xml:space="preserve">Element A. For food (a </w:t>
      </w:r>
      <w:r w:rsidR="009F15D2">
        <w:t xml:space="preserve">portion of </w:t>
      </w:r>
      <w:r w:rsidR="003358B6">
        <w:t xml:space="preserve">4.7%) the index used would be the “ONS index-food (CPI 1.1)”. For utilities (a </w:t>
      </w:r>
      <w:r w:rsidR="009F15D2">
        <w:t xml:space="preserve">portion of </w:t>
      </w:r>
      <w:r w:rsidR="003358B6">
        <w:t>3.5%) the index used would be the “ONS index-Electricity, Gas and Other Fuels (CPI 4.3.2)”.</w:t>
      </w:r>
      <w:r w:rsidR="004D3025">
        <w:t xml:space="preserve"> </w:t>
      </w:r>
      <w:r w:rsidR="00D94A25">
        <w:t xml:space="preserve">I am going to call these “Sub-Indexes”. </w:t>
      </w:r>
      <w:r w:rsidR="004D3025">
        <w:t xml:space="preserve">I was told that the </w:t>
      </w:r>
      <w:r w:rsidR="00C20DFA">
        <w:t xml:space="preserve">2016 </w:t>
      </w:r>
      <w:r w:rsidR="004D3025">
        <w:t>draft agreement was not signed by the Claimant’s members.</w:t>
      </w:r>
      <w:r w:rsidR="00C20DFA">
        <w:t xml:space="preserve"> I do not know </w:t>
      </w:r>
      <w:r w:rsidR="00FB119D">
        <w:t>why,</w:t>
      </w:r>
      <w:r w:rsidR="00C20DFA">
        <w:t xml:space="preserve"> and it does not matter</w:t>
      </w:r>
      <w:r w:rsidR="00115EE6">
        <w:t xml:space="preserve"> to my analysis.</w:t>
      </w:r>
    </w:p>
    <w:p w14:paraId="0D47E59F" w14:textId="57A4B8E1" w:rsidR="00C84969" w:rsidRDefault="00EF04C8" w:rsidP="005D6826">
      <w:pPr>
        <w:pStyle w:val="ParaLevel1"/>
        <w:tabs>
          <w:tab w:val="clear" w:pos="720"/>
          <w:tab w:val="left" w:pos="567"/>
        </w:tabs>
        <w:ind w:left="567" w:hanging="567"/>
      </w:pPr>
      <w:r>
        <w:lastRenderedPageBreak/>
        <w:t xml:space="preserve">We can also illustrate this by turning the clock </w:t>
      </w:r>
      <w:r w:rsidR="00084CC5">
        <w:t xml:space="preserve">forward from the events with which this case is concerned, </w:t>
      </w:r>
      <w:r w:rsidR="009C6663">
        <w:t xml:space="preserve">to </w:t>
      </w:r>
      <w:r w:rsidR="007574DE">
        <w:t>February 2024</w:t>
      </w:r>
      <w:r w:rsidR="00084CC5">
        <w:t xml:space="preserve">. </w:t>
      </w:r>
      <w:r w:rsidR="005F6003">
        <w:t>On 14</w:t>
      </w:r>
      <w:r w:rsidR="006B6FA4">
        <w:t xml:space="preserve">.2.24 the Council wrote to care home operators </w:t>
      </w:r>
      <w:r w:rsidR="00EF5F90">
        <w:t>concerning the new</w:t>
      </w:r>
      <w:r w:rsidR="00F03718">
        <w:t xml:space="preserve"> SP Contract Arrangement</w:t>
      </w:r>
      <w:r w:rsidR="00EF5F90">
        <w:t xml:space="preserve"> to take effect from 1.4.24</w:t>
      </w:r>
      <w:r w:rsidR="0007615E">
        <w:t>. By way of a new basic contractual mechanism</w:t>
      </w:r>
      <w:r w:rsidR="005367FD">
        <w:t>, in the context of inflationary cost increases</w:t>
      </w:r>
      <w:r w:rsidR="003B35B7">
        <w:t xml:space="preserve"> it put forward – for responses – a </w:t>
      </w:r>
      <w:r w:rsidR="00A547E4">
        <w:t xml:space="preserve">proposed </w:t>
      </w:r>
      <w:r w:rsidR="003B35B7">
        <w:t>departure from CPIH</w:t>
      </w:r>
      <w:r w:rsidR="00A547E4">
        <w:t xml:space="preserve">. This would involve </w:t>
      </w:r>
      <w:r w:rsidR="00A94F6D">
        <w:t>a weighted increase</w:t>
      </w:r>
      <w:r w:rsidR="00655AF2">
        <w:t>, by reference to portions of a care homes non-staffing costs,</w:t>
      </w:r>
      <w:r w:rsidR="00A94F6D">
        <w:t xml:space="preserve"> using Sub-Indexes for food</w:t>
      </w:r>
      <w:r w:rsidR="006848FE">
        <w:t xml:space="preserve"> (CPI 1.1), electricity (CPI </w:t>
      </w:r>
      <w:r w:rsidR="00211995">
        <w:t>4.5.1) and gas (CPI 4.5.2)</w:t>
      </w:r>
      <w:r w:rsidR="00C9339C">
        <w:t xml:space="preserve">. I do not know whether the new agreement has been finalised and signed, and </w:t>
      </w:r>
      <w:r w:rsidR="00115EE6">
        <w:t>again that does not matter to my analysis.</w:t>
      </w:r>
    </w:p>
    <w:p w14:paraId="3CE2743A" w14:textId="04D76783" w:rsidR="003358B6" w:rsidRPr="004D3025" w:rsidRDefault="00E23456" w:rsidP="003358B6">
      <w:pPr>
        <w:pStyle w:val="ParaLevel1"/>
        <w:numPr>
          <w:ilvl w:val="0"/>
          <w:numId w:val="0"/>
        </w:numPr>
        <w:tabs>
          <w:tab w:val="left" w:pos="567"/>
        </w:tabs>
        <w:rPr>
          <w:u w:val="single"/>
        </w:rPr>
      </w:pPr>
      <w:r>
        <w:rPr>
          <w:u w:val="single"/>
        </w:rPr>
        <w:t xml:space="preserve">Costs and </w:t>
      </w:r>
      <w:r w:rsidR="004D3025" w:rsidRPr="004D3025">
        <w:rPr>
          <w:u w:val="single"/>
        </w:rPr>
        <w:t>Pie Chart</w:t>
      </w:r>
      <w:r>
        <w:rPr>
          <w:u w:val="single"/>
        </w:rPr>
        <w:t>s</w:t>
      </w:r>
    </w:p>
    <w:p w14:paraId="47F31FF7" w14:textId="33AE03DC" w:rsidR="00D94A25" w:rsidRDefault="008336C5" w:rsidP="000343E7">
      <w:pPr>
        <w:pStyle w:val="ParaLevel1"/>
        <w:tabs>
          <w:tab w:val="clear" w:pos="720"/>
          <w:tab w:val="left" w:pos="567"/>
        </w:tabs>
        <w:ind w:left="567" w:hanging="567"/>
      </w:pPr>
      <w:r>
        <w:t>Think of a</w:t>
      </w:r>
      <w:r w:rsidR="00C57230">
        <w:t xml:space="preserve"> circle divided into slices making up the whole. </w:t>
      </w:r>
      <w:r w:rsidR="00345675">
        <w:t>Think of the</w:t>
      </w:r>
      <w:r w:rsidR="00C57230">
        <w:t xml:space="preserve"> whole </w:t>
      </w:r>
      <w:r w:rsidR="00345675">
        <w:t>as</w:t>
      </w:r>
      <w:r w:rsidR="00C57230">
        <w:t xml:space="preserve"> overall costs. The slices are portions of that whole. If you are using an index like CPIH there will be a </w:t>
      </w:r>
      <w:r w:rsidR="00B222D0">
        <w:t xml:space="preserve">CPIH </w:t>
      </w:r>
      <w:r w:rsidR="00C57230">
        <w:t xml:space="preserve">whole, with </w:t>
      </w:r>
      <w:r w:rsidR="00B222D0">
        <w:t xml:space="preserve">its own </w:t>
      </w:r>
      <w:r w:rsidR="00C57230">
        <w:t xml:space="preserve">constituent portions. CPIH is designed to be a pie for a typical private householder. </w:t>
      </w:r>
      <w:r w:rsidR="00482B26">
        <w:t xml:space="preserve">The costs of a typical care home operator are not the same as the costs of a typical private householder. </w:t>
      </w:r>
      <w:r w:rsidR="00C57230">
        <w:t xml:space="preserve">A typical care home’s overall costs is </w:t>
      </w:r>
      <w:r w:rsidR="0092744F">
        <w:t>its own</w:t>
      </w:r>
      <w:r w:rsidR="00C57230">
        <w:t xml:space="preserve"> pie with </w:t>
      </w:r>
      <w:r w:rsidR="0092744F">
        <w:t xml:space="preserve">its own </w:t>
      </w:r>
      <w:r w:rsidR="00C57230">
        <w:t>portions</w:t>
      </w:r>
      <w:r w:rsidR="0092744F">
        <w:t>. An attempt to depict this has been seen in the</w:t>
      </w:r>
      <w:r w:rsidR="00D94A25">
        <w:t xml:space="preserve"> 2016 draft </w:t>
      </w:r>
      <w:r w:rsidR="007125E7">
        <w:t>agreement</w:t>
      </w:r>
      <w:r w:rsidR="00764B7E">
        <w:t xml:space="preserve"> (§</w:t>
      </w:r>
      <w:r w:rsidR="007125E7">
        <w:t>21 above)</w:t>
      </w:r>
      <w:r w:rsidR="00C57230">
        <w:t xml:space="preserve">. </w:t>
      </w:r>
      <w:r w:rsidR="00A268AA">
        <w:t>If you are focusing on a</w:t>
      </w:r>
      <w:r w:rsidR="00C57230">
        <w:t xml:space="preserve"> typical care home’s</w:t>
      </w:r>
      <w:r w:rsidR="00D94A25">
        <w:t xml:space="preserve"> non-staffing costs</w:t>
      </w:r>
      <w:r w:rsidR="00A268AA">
        <w:t>, you would be able to draw a different</w:t>
      </w:r>
      <w:r w:rsidR="00D94A25">
        <w:t xml:space="preserve"> pie with </w:t>
      </w:r>
      <w:r w:rsidR="00A268AA">
        <w:t xml:space="preserve">its own </w:t>
      </w:r>
      <w:r w:rsidR="00D94A25">
        <w:t xml:space="preserve">portions. If you compared a typical care home with a typical private </w:t>
      </w:r>
      <w:r w:rsidR="00FB119D">
        <w:t>householder,</w:t>
      </w:r>
      <w:r w:rsidR="00D94A25">
        <w:t xml:space="preserve"> you would get some equivalent slices and some different ones. Typical private householders do not have staffing costs or </w:t>
      </w:r>
      <w:r w:rsidR="00EE30DB">
        <w:t>management and administration costs.</w:t>
      </w:r>
      <w:r w:rsidR="000343E7">
        <w:t xml:space="preserve"> </w:t>
      </w:r>
      <w:r w:rsidR="008F7BCA">
        <w:t xml:space="preserve">There is another point. </w:t>
      </w:r>
      <w:r w:rsidR="00D94A25">
        <w:t xml:space="preserve">The fee levels within the 2021 Agreement </w:t>
      </w:r>
      <w:r w:rsidR="00EE30DB">
        <w:t>are not only about costs.</w:t>
      </w:r>
      <w:r w:rsidR="001415B1">
        <w:t xml:space="preserve"> </w:t>
      </w:r>
      <w:r w:rsidR="00EE30DB">
        <w:t xml:space="preserve">In particular, there is an element </w:t>
      </w:r>
      <w:r w:rsidR="001415B1">
        <w:t xml:space="preserve">included in Element B (non-staffing costs) </w:t>
      </w:r>
      <w:r w:rsidR="003F006F">
        <w:t>which is</w:t>
      </w:r>
      <w:r w:rsidR="00EE30DB">
        <w:t xml:space="preserve"> return on investment.</w:t>
      </w:r>
      <w:r w:rsidR="00F71591">
        <w:t xml:space="preserve"> </w:t>
      </w:r>
      <w:r w:rsidR="007859BC">
        <w:t>R</w:t>
      </w:r>
      <w:r w:rsidR="00F71591">
        <w:t>eturn on investment is important in terms of market sustainability.</w:t>
      </w:r>
      <w:r w:rsidR="00EE30DB">
        <w:t xml:space="preserve"> </w:t>
      </w:r>
      <w:r w:rsidR="007859BC">
        <w:t>But a</w:t>
      </w:r>
      <w:r w:rsidR="003F006F">
        <w:t xml:space="preserve"> typical private householder does not have </w:t>
      </w:r>
      <w:r w:rsidR="00F71591">
        <w:t xml:space="preserve">return on investment. </w:t>
      </w:r>
      <w:r w:rsidR="00EE30DB">
        <w:t>In the draft 2016 agreement</w:t>
      </w:r>
      <w:r w:rsidR="00CE3779">
        <w:t>, return on investment</w:t>
      </w:r>
      <w:r w:rsidR="00EE30DB">
        <w:t xml:space="preserve"> was being pitched as a 10.24% </w:t>
      </w:r>
      <w:r w:rsidR="007859BC">
        <w:t>portion</w:t>
      </w:r>
      <w:r w:rsidR="00EE30DB">
        <w:t xml:space="preserve"> of the overall pie. When we are thinking about a typical care home operator’s Pie Chart, </w:t>
      </w:r>
      <w:r w:rsidR="00CE3779">
        <w:t>we could take a pie with, or without, return on investment.</w:t>
      </w:r>
    </w:p>
    <w:p w14:paraId="2C127C6E" w14:textId="56E1D178" w:rsidR="00CE3779" w:rsidRPr="00CE3779" w:rsidRDefault="00CE3779" w:rsidP="00CE3779">
      <w:pPr>
        <w:pStyle w:val="ParaLevel1"/>
        <w:numPr>
          <w:ilvl w:val="0"/>
          <w:numId w:val="0"/>
        </w:numPr>
        <w:tabs>
          <w:tab w:val="left" w:pos="567"/>
        </w:tabs>
        <w:rPr>
          <w:u w:val="single"/>
        </w:rPr>
      </w:pPr>
      <w:r w:rsidRPr="00CE3779">
        <w:rPr>
          <w:u w:val="single"/>
        </w:rPr>
        <w:t>CPIH</w:t>
      </w:r>
    </w:p>
    <w:p w14:paraId="6C3C2CBD" w14:textId="6C75983F" w:rsidR="00CE3779" w:rsidRDefault="00637E44" w:rsidP="006746EE">
      <w:pPr>
        <w:pStyle w:val="ParaLevel1"/>
        <w:tabs>
          <w:tab w:val="clear" w:pos="720"/>
          <w:tab w:val="left" w:pos="567"/>
        </w:tabs>
        <w:ind w:left="567" w:hanging="567"/>
      </w:pPr>
      <w:r>
        <w:t xml:space="preserve">The Basic Contractual Mechanism uses CPIH for Element B (non-staffing costs). </w:t>
      </w:r>
      <w:r w:rsidR="00CE3779">
        <w:t xml:space="preserve">CPIH is a way of measuring the impact of inflation on overall household costs. </w:t>
      </w:r>
      <w:r w:rsidR="00A30394">
        <w:t>The</w:t>
      </w:r>
      <w:r w:rsidR="00CE3779">
        <w:t xml:space="preserve"> typical private householder for CPIH purposes has a </w:t>
      </w:r>
      <w:r w:rsidR="00A30394">
        <w:t xml:space="preserve">relevant </w:t>
      </w:r>
      <w:r w:rsidR="00CE3779">
        <w:t xml:space="preserve">Pie Chart. It is also </w:t>
      </w:r>
      <w:r w:rsidR="00A30394">
        <w:t>spoken of as being a</w:t>
      </w:r>
      <w:r w:rsidR="00CE3779">
        <w:t xml:space="preserve"> basket of goods. You start with what the typical private householder is treated as buying</w:t>
      </w:r>
      <w:r w:rsidR="00630864">
        <w:t>. This is</w:t>
      </w:r>
      <w:r w:rsidR="00CE3779">
        <w:t xml:space="preserve"> your </w:t>
      </w:r>
      <w:r w:rsidR="00630864">
        <w:t xml:space="preserve">CPIH </w:t>
      </w:r>
      <w:r w:rsidR="00CE3779">
        <w:t>Pie Chart. It can be adjusted</w:t>
      </w:r>
      <w:r w:rsidR="00721925">
        <w:t xml:space="preserve"> as trends change. Because you know the percentage slices for each item, you can use your </w:t>
      </w:r>
      <w:r w:rsidR="00630864">
        <w:t xml:space="preserve">ONS </w:t>
      </w:r>
      <w:r w:rsidR="00721925">
        <w:t>Sub-Indexes and do a calculation of how costs</w:t>
      </w:r>
      <w:r w:rsidR="00FC0528">
        <w:t>, for each portion,</w:t>
      </w:r>
      <w:r w:rsidR="00721925">
        <w:t xml:space="preserve"> have typically changed in the present year. </w:t>
      </w:r>
      <w:r w:rsidR="00FC0528">
        <w:t>Combine this and you get a</w:t>
      </w:r>
      <w:r w:rsidR="00721925">
        <w:t xml:space="preserve"> CPIH percentage</w:t>
      </w:r>
      <w:r w:rsidR="00FC0528">
        <w:t xml:space="preserve"> for the Pie Chart as a whole</w:t>
      </w:r>
      <w:r w:rsidR="00721925">
        <w:t xml:space="preserve">. If your CPIH is 10% and the food Sub-Index was 20%, it means something else </w:t>
      </w:r>
      <w:r w:rsidR="003B099C">
        <w:t xml:space="preserve">within the Pie Chart </w:t>
      </w:r>
      <w:r w:rsidR="00721925">
        <w:t xml:space="preserve">must have had a Sub-Index below 10%. </w:t>
      </w:r>
      <w:r w:rsidR="003B099C">
        <w:t>The point is that it spreads out and evens out,</w:t>
      </w:r>
      <w:r w:rsidR="00721925">
        <w:t xml:space="preserve"> to produce the CPIH. </w:t>
      </w:r>
      <w:r w:rsidR="00566008">
        <w:t>Of course, no</w:t>
      </w:r>
      <w:r w:rsidR="00721925">
        <w:t xml:space="preserve">t all private households are the same. </w:t>
      </w:r>
      <w:r w:rsidR="00566008">
        <w:t>Perhaps few will be a perfect fit. But i</w:t>
      </w:r>
      <w:r w:rsidR="00721925">
        <w:t>t is a broadly representative picture</w:t>
      </w:r>
      <w:r w:rsidR="008B6839">
        <w:t xml:space="preserve"> of how costs are changing. And you can take a CPIH picture across the last 12 months. You can do that each January.</w:t>
      </w:r>
      <w:r w:rsidR="00761E40">
        <w:t xml:space="preserve"> And if you are looking at Element B for Year 3 of the 2021 Agreement, this is the Basic Contractual Mechanism.</w:t>
      </w:r>
    </w:p>
    <w:p w14:paraId="3C72469E" w14:textId="19B124F3" w:rsidR="000D3EBD" w:rsidRPr="000343E7" w:rsidRDefault="000343E7" w:rsidP="00741A3D">
      <w:pPr>
        <w:pStyle w:val="ParaLevel1"/>
        <w:keepNext/>
        <w:numPr>
          <w:ilvl w:val="0"/>
          <w:numId w:val="0"/>
        </w:numPr>
        <w:tabs>
          <w:tab w:val="left" w:pos="567"/>
        </w:tabs>
        <w:rPr>
          <w:u w:val="single"/>
        </w:rPr>
      </w:pPr>
      <w:r w:rsidRPr="000343E7">
        <w:rPr>
          <w:u w:val="single"/>
        </w:rPr>
        <w:lastRenderedPageBreak/>
        <w:t>Pie Chart Comparison</w:t>
      </w:r>
      <w:r w:rsidR="00E23456">
        <w:rPr>
          <w:u w:val="single"/>
        </w:rPr>
        <w:t>s</w:t>
      </w:r>
    </w:p>
    <w:p w14:paraId="1EA1CC4D" w14:textId="6EB2163F" w:rsidR="00EA572A" w:rsidRDefault="009D00F4" w:rsidP="00741A3D">
      <w:pPr>
        <w:pStyle w:val="ParaLevel1"/>
        <w:keepNext/>
        <w:tabs>
          <w:tab w:val="clear" w:pos="720"/>
          <w:tab w:val="left" w:pos="567"/>
        </w:tabs>
        <w:ind w:left="567" w:hanging="567"/>
      </w:pPr>
      <w:r>
        <w:t>Suppose you</w:t>
      </w:r>
      <w:r w:rsidR="000343E7">
        <w:t xml:space="preserve"> are thinking about costs and costs increases</w:t>
      </w:r>
      <w:r>
        <w:t>. Suppose you</w:t>
      </w:r>
      <w:r w:rsidR="000343E7">
        <w:t xml:space="preserve"> want to compare</w:t>
      </w:r>
      <w:r w:rsidR="00D17083">
        <w:t xml:space="preserve"> a typical care home operator</w:t>
      </w:r>
      <w:r w:rsidR="000343E7">
        <w:t xml:space="preserve"> with a typical</w:t>
      </w:r>
      <w:r w:rsidR="00D17083">
        <w:t xml:space="preserve"> </w:t>
      </w:r>
      <w:r w:rsidR="000343E7">
        <w:t xml:space="preserve">private </w:t>
      </w:r>
      <w:r w:rsidR="00D17083">
        <w:t>householder</w:t>
      </w:r>
      <w:r w:rsidR="00297B14">
        <w:t>. There</w:t>
      </w:r>
      <w:r w:rsidR="00D17083">
        <w:t xml:space="preserve"> are a number of </w:t>
      </w:r>
      <w:r w:rsidR="000343E7">
        <w:t xml:space="preserve">things you could do. </w:t>
      </w:r>
      <w:r w:rsidR="00297B14">
        <w:t>But o</w:t>
      </w:r>
      <w:r w:rsidR="000343E7">
        <w:t xml:space="preserve">ne of them </w:t>
      </w:r>
      <w:r w:rsidR="00297B14">
        <w:t>would be</w:t>
      </w:r>
      <w:r w:rsidR="000343E7">
        <w:t xml:space="preserve"> to take a typical care home </w:t>
      </w:r>
      <w:r w:rsidR="00297B14">
        <w:t xml:space="preserve">operator’s </w:t>
      </w:r>
      <w:r w:rsidR="000343E7">
        <w:t>Pie Chart and compare it with a typical private householder</w:t>
      </w:r>
      <w:r w:rsidR="00297B14">
        <w:t>’s</w:t>
      </w:r>
      <w:r w:rsidR="000343E7">
        <w:t xml:space="preserve"> Pie Chart. You could put them side by side. There are always going to be differences in the elements. But there will be parallels.</w:t>
      </w:r>
      <w:r w:rsidR="0009520A">
        <w:t xml:space="preserve"> You could take food, energy, medicines and maintenance. You could take a Sub-Index, for example for food or energy. Or you might </w:t>
      </w:r>
      <w:r w:rsidR="003B1079">
        <w:t xml:space="preserve">already </w:t>
      </w:r>
      <w:r w:rsidR="004C76CC">
        <w:t>have a good appreciation of how</w:t>
      </w:r>
      <w:r w:rsidR="0009520A">
        <w:t xml:space="preserve"> food and energy prices have changed. A Pie Chart Comparison will tell you how big the pie slice for food or for energy is, when </w:t>
      </w:r>
      <w:r w:rsidR="004C76CC">
        <w:t xml:space="preserve">you are </w:t>
      </w:r>
      <w:r w:rsidR="0009520A">
        <w:t>comparing your typical care home with your typical private householder.</w:t>
      </w:r>
      <w:r w:rsidR="00EA572A">
        <w:t xml:space="preserve"> That can help, if you are thinking about fee level sufficiency to cover inflationary cost increases. It can also help, if you are thinking about fee level sufficiency to sustain the efficient and effective operation of a care home market.</w:t>
      </w:r>
    </w:p>
    <w:p w14:paraId="43AB16F2" w14:textId="5302F57F" w:rsidR="007D4E31" w:rsidRPr="007D4E31" w:rsidRDefault="00E453D1" w:rsidP="007D4E31">
      <w:pPr>
        <w:pStyle w:val="ParaLevel1"/>
        <w:numPr>
          <w:ilvl w:val="0"/>
          <w:numId w:val="0"/>
        </w:numPr>
        <w:tabs>
          <w:tab w:val="left" w:pos="567"/>
        </w:tabs>
        <w:rPr>
          <w:u w:val="single"/>
        </w:rPr>
      </w:pPr>
      <w:r>
        <w:rPr>
          <w:u w:val="single"/>
        </w:rPr>
        <w:t>Grants and Inflationary Pressures: t</w:t>
      </w:r>
      <w:r w:rsidR="007D4E31" w:rsidRPr="007D4E31">
        <w:rPr>
          <w:u w:val="single"/>
        </w:rPr>
        <w:t>he A</w:t>
      </w:r>
      <w:r w:rsidR="00D44217">
        <w:rPr>
          <w:u w:val="single"/>
        </w:rPr>
        <w:t>rgument that Fell Away</w:t>
      </w:r>
    </w:p>
    <w:p w14:paraId="51824BF6" w14:textId="447FD07A" w:rsidR="00AE411C" w:rsidRDefault="006010D6" w:rsidP="007D4E31">
      <w:pPr>
        <w:pStyle w:val="ParaLevel1"/>
        <w:tabs>
          <w:tab w:val="clear" w:pos="720"/>
          <w:tab w:val="left" w:pos="567"/>
        </w:tabs>
        <w:ind w:left="567" w:hanging="567"/>
      </w:pPr>
      <w:r>
        <w:t xml:space="preserve">One of the </w:t>
      </w:r>
      <w:r w:rsidR="00F73DE3">
        <w:t xml:space="preserve">recurrent </w:t>
      </w:r>
      <w:r>
        <w:t>themes of th</w:t>
      </w:r>
      <w:r w:rsidR="00994B63">
        <w:t>is legal challenge</w:t>
      </w:r>
      <w:r>
        <w:t xml:space="preserve">, up until Mr Buttler KC’s </w:t>
      </w:r>
      <w:r w:rsidR="00F16453">
        <w:t xml:space="preserve">oral </w:t>
      </w:r>
      <w:r>
        <w:t xml:space="preserve">reply </w:t>
      </w:r>
      <w:r w:rsidR="00F16453">
        <w:t xml:space="preserve">submissions, </w:t>
      </w:r>
      <w:r w:rsidR="00E526C1">
        <w:t xml:space="preserve">was an argument whose essence </w:t>
      </w:r>
      <w:r w:rsidR="00994B63">
        <w:t>ran as follows</w:t>
      </w:r>
      <w:r w:rsidR="00E526C1">
        <w:t xml:space="preserve">. </w:t>
      </w:r>
      <w:r w:rsidR="00994B63">
        <w:t xml:space="preserve">During Year 2 there was the </w:t>
      </w:r>
      <w:r w:rsidR="00370E14">
        <w:t>Council’s MSF Fund grant (£1.026m). It was the subject of an announcement</w:t>
      </w:r>
      <w:r w:rsidR="00382667">
        <w:t>, a determination, grant conditions and</w:t>
      </w:r>
      <w:r w:rsidR="007D4E31">
        <w:t xml:space="preserve"> </w:t>
      </w:r>
      <w:r w:rsidR="00E526C1">
        <w:t>MSF Non-Statutory G</w:t>
      </w:r>
      <w:r w:rsidR="007D4E31">
        <w:t>uidance</w:t>
      </w:r>
      <w:r w:rsidR="00382667">
        <w:t>. On the proper interpretation of those materials</w:t>
      </w:r>
      <w:r w:rsidR="008A087A">
        <w:t xml:space="preserve">, the Council’s </w:t>
      </w:r>
      <w:r w:rsidR="00F50E69">
        <w:t xml:space="preserve">MSF Fund </w:t>
      </w:r>
      <w:r w:rsidR="008A087A">
        <w:t>grant</w:t>
      </w:r>
      <w:r w:rsidR="007D4E31">
        <w:t xml:space="preserve"> </w:t>
      </w:r>
      <w:r w:rsidR="00F50E69">
        <w:t>had never been</w:t>
      </w:r>
      <w:r w:rsidR="007D4E31">
        <w:t xml:space="preserve"> available for </w:t>
      </w:r>
      <w:r w:rsidR="008A087A">
        <w:t xml:space="preserve">it to </w:t>
      </w:r>
      <w:r w:rsidR="007D4E31">
        <w:t xml:space="preserve">use to address inflationary pressures. </w:t>
      </w:r>
      <w:r w:rsidR="0004730F">
        <w:t>The</w:t>
      </w:r>
      <w:r w:rsidR="007D4E31">
        <w:t xml:space="preserve"> statement of purpose in the </w:t>
      </w:r>
      <w:r w:rsidR="00D62631">
        <w:t>MSF Grant Determination (24.3.22)</w:t>
      </w:r>
      <w:r w:rsidR="007D4E31">
        <w:t xml:space="preserve"> </w:t>
      </w:r>
      <w:r w:rsidR="008F393B">
        <w:t>said that the MSF Fund purpose was “</w:t>
      </w:r>
      <w:r w:rsidR="007D4E31">
        <w:t>to support local authorities to move towards paying providers a fair cost of care</w:t>
      </w:r>
      <w:r w:rsidR="000B644D">
        <w:t>”</w:t>
      </w:r>
      <w:r w:rsidR="007D4E31">
        <w:t xml:space="preserve"> and that </w:t>
      </w:r>
      <w:r w:rsidR="000B644D">
        <w:t>“</w:t>
      </w:r>
      <w:r w:rsidR="007D4E31">
        <w:t>where average fee rates are below the fair cost of care</w:t>
      </w:r>
      <w:r w:rsidR="000B644D">
        <w:t>,</w:t>
      </w:r>
      <w:r w:rsidR="007D4E31">
        <w:t xml:space="preserve"> local authorit</w:t>
      </w:r>
      <w:r w:rsidR="000B644D">
        <w:t>ies</w:t>
      </w:r>
      <w:r w:rsidR="007D4E31">
        <w:t xml:space="preserve"> should use this additional funding to increase fee rates </w:t>
      </w:r>
      <w:r w:rsidR="00A97245">
        <w:t>paid</w:t>
      </w:r>
      <w:r w:rsidR="007D4E31">
        <w:t xml:space="preserve"> to providers</w:t>
      </w:r>
      <w:r w:rsidR="00A97245">
        <w:t xml:space="preserve"> …</w:t>
      </w:r>
      <w:r w:rsidR="007D4E31">
        <w:t xml:space="preserve"> beyond the level required to cover increases in core costs such as inflation</w:t>
      </w:r>
      <w:r w:rsidR="00A97245">
        <w:t>…”</w:t>
      </w:r>
      <w:r w:rsidR="00384174">
        <w:t xml:space="preserve"> </w:t>
      </w:r>
      <w:r w:rsidR="00E2781F">
        <w:t>In the same Determination, t</w:t>
      </w:r>
      <w:r w:rsidR="00CD1CC9">
        <w:t>he grant conditions</w:t>
      </w:r>
      <w:r w:rsidR="00E2781F">
        <w:t xml:space="preserve"> </w:t>
      </w:r>
      <w:r w:rsidR="00F3441D">
        <w:t>said the grant “must be used</w:t>
      </w:r>
      <w:r w:rsidR="002E143E">
        <w:t>” by a recipient authority “</w:t>
      </w:r>
      <w:r w:rsidR="00A949C0">
        <w:t>to increase rates if its rates are below the fair cost of care”. The</w:t>
      </w:r>
      <w:r w:rsidR="00996706">
        <w:t xml:space="preserve"> MSF Non-Statutory Guidance </w:t>
      </w:r>
      <w:r w:rsidR="00E74527">
        <w:t xml:space="preserve">said that </w:t>
      </w:r>
      <w:r w:rsidR="000536B1">
        <w:t>local authorities were “required to use all funding to improve sustainability of the 65+ care home and 18+ domiciliary care markets</w:t>
      </w:r>
      <w:r w:rsidR="00773D50">
        <w:t xml:space="preserve"> … and not just cover existing pressures”.</w:t>
      </w:r>
      <w:r w:rsidR="00230B35">
        <w:t xml:space="preserve"> </w:t>
      </w:r>
      <w:r w:rsidR="001A6C75">
        <w:t xml:space="preserve">Accordingly, and on an objectively correct interpretation of these instruments, </w:t>
      </w:r>
      <w:r w:rsidR="005408BF">
        <w:t xml:space="preserve">the MSF Fund </w:t>
      </w:r>
      <w:r w:rsidR="001E09B6">
        <w:t xml:space="preserve">could not be used to cover </w:t>
      </w:r>
      <w:r w:rsidR="00AE411C">
        <w:t>existing inflationary pressures.</w:t>
      </w:r>
      <w:r w:rsidR="00555C97">
        <w:t xml:space="preserve"> That was the argument.</w:t>
      </w:r>
    </w:p>
    <w:p w14:paraId="2D8D1E1D" w14:textId="009BAA32" w:rsidR="001D68FD" w:rsidRDefault="004571D6" w:rsidP="007D4E31">
      <w:pPr>
        <w:pStyle w:val="ParaLevel1"/>
        <w:tabs>
          <w:tab w:val="clear" w:pos="720"/>
          <w:tab w:val="left" w:pos="567"/>
        </w:tabs>
        <w:ind w:left="567" w:hanging="567"/>
      </w:pPr>
      <w:r>
        <w:t>The</w:t>
      </w:r>
      <w:r w:rsidR="00D57792">
        <w:t xml:space="preserve"> Council’s </w:t>
      </w:r>
      <w:r>
        <w:t xml:space="preserve">MSF Fund </w:t>
      </w:r>
      <w:r w:rsidR="00D57792">
        <w:t xml:space="preserve">Grant Allocation Decision </w:t>
      </w:r>
      <w:r w:rsidR="00FD5028">
        <w:t xml:space="preserve">(11.10.22), including </w:t>
      </w:r>
      <w:r w:rsidR="00553657">
        <w:t xml:space="preserve">£330k to cover </w:t>
      </w:r>
      <w:r w:rsidR="00FD5028">
        <w:t>the overall 2.45% bump in care home operators’ fees in the four months at the end of Year 2</w:t>
      </w:r>
      <w:r w:rsidR="00553657">
        <w:t>, was not a target for judicial review.</w:t>
      </w:r>
      <w:r w:rsidR="00EC6629">
        <w:t xml:space="preserve"> So how did this argument feature in the present case?</w:t>
      </w:r>
      <w:r w:rsidR="005F610C">
        <w:t xml:space="preserve"> The answer lay in the idea of ‘replication’ of the MSF Fund grant</w:t>
      </w:r>
      <w:r w:rsidR="001157E6">
        <w:t xml:space="preserve"> and its purposes, when it came to the MSI Fund grant.</w:t>
      </w:r>
      <w:r w:rsidR="00846ACC">
        <w:t xml:space="preserve"> </w:t>
      </w:r>
      <w:r w:rsidR="00836EAE">
        <w:t xml:space="preserve">I will explain. </w:t>
      </w:r>
      <w:r w:rsidR="00846ACC">
        <w:t>The MS</w:t>
      </w:r>
      <w:r w:rsidR="00C9215C">
        <w:t>I</w:t>
      </w:r>
      <w:r w:rsidR="00846ACC">
        <w:t xml:space="preserve"> Fund Announcement (</w:t>
      </w:r>
      <w:r w:rsidR="001F65F4">
        <w:t xml:space="preserve">19.12.22) said </w:t>
      </w:r>
      <w:r w:rsidR="00C9215C">
        <w:t xml:space="preserve">the </w:t>
      </w:r>
      <w:r w:rsidR="00D14BE5">
        <w:t>Government was going to “maintain the current levels”</w:t>
      </w:r>
      <w:r w:rsidR="00C9215C">
        <w:t xml:space="preserve"> of funding under the MSF Fund</w:t>
      </w:r>
      <w:r w:rsidR="00A533C5">
        <w:t>, “to continue to support the progress local authorities and providers have already made this year on fees and cost of care exercises”</w:t>
      </w:r>
      <w:r w:rsidR="00E81822">
        <w:t>. The Council’s MSI Fund grant included a repeated pot of money (which I will call “Pot A”). It was a repeated £1.026m</w:t>
      </w:r>
      <w:r w:rsidR="005A31D8">
        <w:t>. It was for replication. That is why the MSI Fund Determination (</w:t>
      </w:r>
      <w:r w:rsidR="00A83B44">
        <w:t xml:space="preserve">29.3.23) </w:t>
      </w:r>
      <w:r w:rsidR="00202F31">
        <w:t xml:space="preserve">included a grant condition that Pot A “must be used to continue to support the progress local authorities and providers have already </w:t>
      </w:r>
      <w:r w:rsidR="003D768E">
        <w:t>made in 2022-23 on increasing fee rates to move towards paying a fair cost of care”</w:t>
      </w:r>
      <w:r w:rsidR="001D68FD">
        <w:t xml:space="preserve">. </w:t>
      </w:r>
      <w:r w:rsidR="004A3F1E">
        <w:t>This is why t</w:t>
      </w:r>
      <w:r w:rsidR="001D68FD">
        <w:t xml:space="preserve">he MSI Non-Statutory Guidance </w:t>
      </w:r>
      <w:r w:rsidR="004A3F1E">
        <w:t>(</w:t>
      </w:r>
      <w:r w:rsidR="006268EA">
        <w:t xml:space="preserve">29.3.23) said </w:t>
      </w:r>
      <w:r w:rsidR="00504D86">
        <w:t xml:space="preserve">of </w:t>
      </w:r>
      <w:r w:rsidR="006268EA">
        <w:t xml:space="preserve">the Council’s Pot A (£1.026m) </w:t>
      </w:r>
      <w:r w:rsidR="00504D86">
        <w:t xml:space="preserve">“local authorities must spend their allocation … on maintaining previously </w:t>
      </w:r>
      <w:r w:rsidR="00FF3222">
        <w:t xml:space="preserve">increased fee rates </w:t>
      </w:r>
      <w:r w:rsidR="00FF3222">
        <w:lastRenderedPageBreak/>
        <w:t xml:space="preserve">paid to adult social care providers”. These references to maintaining and continuing were </w:t>
      </w:r>
      <w:r w:rsidR="00136022">
        <w:t>about replication of a previous grant which could never be used to cover existing inflationary pressures.</w:t>
      </w:r>
      <w:r w:rsidR="00547083">
        <w:t xml:space="preserve"> That was how the argument featured.</w:t>
      </w:r>
    </w:p>
    <w:p w14:paraId="2E1BBD9E" w14:textId="4B642E0D" w:rsidR="00547083" w:rsidRDefault="0050497D" w:rsidP="007D4E31">
      <w:pPr>
        <w:pStyle w:val="ParaLevel1"/>
        <w:tabs>
          <w:tab w:val="clear" w:pos="720"/>
          <w:tab w:val="left" w:pos="567"/>
        </w:tabs>
        <w:ind w:left="567" w:hanging="567"/>
      </w:pPr>
      <w:r>
        <w:t xml:space="preserve">As had been </w:t>
      </w:r>
      <w:r w:rsidR="00DB4BFF">
        <w:t xml:space="preserve">clearly </w:t>
      </w:r>
      <w:r>
        <w:t>explained in</w:t>
      </w:r>
      <w:r w:rsidR="00474C80">
        <w:t xml:space="preserve"> Mr Buttler KC’s skeleton argument</w:t>
      </w:r>
      <w:r w:rsidR="00AD23C7">
        <w:t>, this argument features in the following way</w:t>
      </w:r>
      <w:r w:rsidR="00C51DDE">
        <w:t>s</w:t>
      </w:r>
      <w:r w:rsidR="00AD23C7">
        <w:t xml:space="preserve">. </w:t>
      </w:r>
      <w:r w:rsidR="00700BA1">
        <w:t xml:space="preserve">(1) </w:t>
      </w:r>
      <w:r w:rsidR="00AD23C7">
        <w:t xml:space="preserve">First, it </w:t>
      </w:r>
      <w:r w:rsidR="00937745">
        <w:t xml:space="preserve">was a reason why the </w:t>
      </w:r>
      <w:r w:rsidR="00FE3867">
        <w:t xml:space="preserve">Council’s </w:t>
      </w:r>
      <w:r w:rsidR="00937745">
        <w:t>reasons in the first target decision (</w:t>
      </w:r>
      <w:r w:rsidR="0087190D">
        <w:t>31.1.23) were legally inadequate</w:t>
      </w:r>
      <w:r w:rsidR="000D1411">
        <w:t>. The</w:t>
      </w:r>
      <w:r w:rsidR="0087190D">
        <w:t xml:space="preserve"> Council </w:t>
      </w:r>
      <w:r w:rsidR="000D1411">
        <w:t xml:space="preserve">in January 2023 </w:t>
      </w:r>
      <w:r w:rsidR="0087190D">
        <w:t xml:space="preserve">misunderstood what the </w:t>
      </w:r>
      <w:r w:rsidR="004B39DF">
        <w:t xml:space="preserve">MSI Fund grant could be used for, </w:t>
      </w:r>
      <w:r w:rsidR="000D1411">
        <w:t>having</w:t>
      </w:r>
      <w:r w:rsidR="00627ED7">
        <w:t xml:space="preserve"> misunderstood what </w:t>
      </w:r>
      <w:r w:rsidR="004B39DF">
        <w:t xml:space="preserve">the MSF Fund grant </w:t>
      </w:r>
      <w:r w:rsidR="000D1411">
        <w:t xml:space="preserve">could be used for. Grant money was not </w:t>
      </w:r>
      <w:r w:rsidR="00262A3A">
        <w:t>to be used to cover existing inflationary pressures.</w:t>
      </w:r>
      <w:r w:rsidR="00140568">
        <w:t xml:space="preserve"> </w:t>
      </w:r>
      <w:r w:rsidR="00700BA1">
        <w:t xml:space="preserve">(2) </w:t>
      </w:r>
      <w:r w:rsidR="00140568">
        <w:t xml:space="preserve">Secondly, </w:t>
      </w:r>
      <w:r w:rsidR="00852DA2">
        <w:t xml:space="preserve">it was a reason why the </w:t>
      </w:r>
      <w:r w:rsidR="00676A51">
        <w:t xml:space="preserve">MSI Fund </w:t>
      </w:r>
      <w:r w:rsidR="00A3195D">
        <w:t xml:space="preserve">grant could not make the challenge to the </w:t>
      </w:r>
      <w:r w:rsidR="00185AA6">
        <w:t xml:space="preserve">January 2023 and March 2023 target decisions premature or academic. </w:t>
      </w:r>
      <w:r w:rsidR="00700BA1">
        <w:t xml:space="preserve">(3) </w:t>
      </w:r>
      <w:r w:rsidR="00185AA6">
        <w:t xml:space="preserve">Thirdly, </w:t>
      </w:r>
      <w:r w:rsidR="00B653B6">
        <w:t xml:space="preserve">it </w:t>
      </w:r>
      <w:r w:rsidR="00FE3867">
        <w:t xml:space="preserve">was a reason why the Council’s </w:t>
      </w:r>
      <w:r w:rsidR="00EE3E9D">
        <w:t xml:space="preserve">impugned May 2023 </w:t>
      </w:r>
      <w:r w:rsidR="00BA5F8D">
        <w:t>target decision was vitiated for misinterpretation of the MSI Fund grant conditions</w:t>
      </w:r>
      <w:r>
        <w:t xml:space="preserve"> and MSI Non-Statutory Guidance.</w:t>
      </w:r>
    </w:p>
    <w:p w14:paraId="76CA08ED" w14:textId="08DDE0A1" w:rsidR="00840D18" w:rsidRDefault="00840D18" w:rsidP="00E621EE">
      <w:pPr>
        <w:pStyle w:val="ParaLevel1"/>
        <w:tabs>
          <w:tab w:val="clear" w:pos="720"/>
          <w:tab w:val="left" w:pos="567"/>
        </w:tabs>
        <w:ind w:left="567" w:hanging="567"/>
      </w:pPr>
      <w:r>
        <w:t xml:space="preserve">But the argument fell away. </w:t>
      </w:r>
      <w:r w:rsidR="00C96BF6">
        <w:t>The reason</w:t>
      </w:r>
      <w:r w:rsidR="00C07A61">
        <w:t>s were these</w:t>
      </w:r>
      <w:r w:rsidR="00C96BF6">
        <w:t xml:space="preserve">. All the references to grant not being used to cover existing inflationary pressures were </w:t>
      </w:r>
      <w:r w:rsidR="004D0DB6">
        <w:t xml:space="preserve">describing the position of the 70% of local authorities not already </w:t>
      </w:r>
      <w:r w:rsidR="00DA5D9E">
        <w:t>paying “the fair cost of care”. That left 30% of authorities who were already doing this.</w:t>
      </w:r>
      <w:r w:rsidR="00176B2A">
        <w:t xml:space="preserve"> </w:t>
      </w:r>
      <w:r w:rsidR="00C51DDE">
        <w:t xml:space="preserve">Fair cost of care was defined as </w:t>
      </w:r>
      <w:r w:rsidR="000B0B0B">
        <w:t>the</w:t>
      </w:r>
      <w:r w:rsidR="00E621EE">
        <w:t xml:space="preserve"> median actual operating costs for providing care in the local area following completion of a cost of care exercise. The</w:t>
      </w:r>
      <w:r w:rsidR="00176B2A">
        <w:t xml:space="preserve"> cost of care exercise, required to be conducted </w:t>
      </w:r>
      <w:r w:rsidR="00A7650A">
        <w:t xml:space="preserve">by local authorities </w:t>
      </w:r>
      <w:r w:rsidR="00176B2A">
        <w:t xml:space="preserve">during 2022 in conjunction with </w:t>
      </w:r>
      <w:r w:rsidR="00A7650A">
        <w:t>the MSF Fund grants, had led the Council to conclude that it was within the 30%</w:t>
      </w:r>
      <w:r w:rsidR="00D37476">
        <w:t xml:space="preserve">. That conclusion </w:t>
      </w:r>
      <w:r w:rsidR="00C07A61">
        <w:t xml:space="preserve">has not been impugned on public law grounds within these judicial review proceedings. </w:t>
      </w:r>
      <w:r w:rsidR="00EF1A24">
        <w:t xml:space="preserve">This </w:t>
      </w:r>
      <w:r w:rsidR="000C143A">
        <w:t xml:space="preserve">is consistent with the fact </w:t>
      </w:r>
      <w:r w:rsidR="006415D8">
        <w:t>that Government monitoring of the Council’s reported spending of the MSI Fund</w:t>
      </w:r>
      <w:r w:rsidR="004028B3">
        <w:t xml:space="preserve"> did not lead to adverse conclusions on the part of Government; and the fact that a</w:t>
      </w:r>
      <w:r w:rsidR="00EF1A24">
        <w:t xml:space="preserve"> March 2023 complaint </w:t>
      </w:r>
      <w:r w:rsidR="000C143A">
        <w:t xml:space="preserve">by the Claimant </w:t>
      </w:r>
      <w:r w:rsidR="00EF1A24">
        <w:t>to Government</w:t>
      </w:r>
      <w:r w:rsidR="000C143A">
        <w:t>, about the way in which the Council had used the MSF Fund</w:t>
      </w:r>
      <w:r w:rsidR="00A31F43">
        <w:t xml:space="preserve">, was not upheld when Government responded in </w:t>
      </w:r>
      <w:r w:rsidR="006415D8">
        <w:t>May 2023.</w:t>
      </w:r>
      <w:r w:rsidR="00C15C2A">
        <w:t xml:space="preserve"> All of this was a complete answer, as Mr Buttler KC rightly accepted in his oral reply.</w:t>
      </w:r>
    </w:p>
    <w:p w14:paraId="3EA9DBDC" w14:textId="77CAD62B" w:rsidR="002D392A" w:rsidRDefault="008842F2" w:rsidP="002D392A">
      <w:pPr>
        <w:pStyle w:val="ParaLevel1"/>
        <w:tabs>
          <w:tab w:val="clear" w:pos="720"/>
          <w:tab w:val="left" w:pos="567"/>
        </w:tabs>
        <w:ind w:left="567" w:hanging="567"/>
      </w:pPr>
      <w:r>
        <w:t xml:space="preserve">There was another </w:t>
      </w:r>
      <w:r w:rsidR="00632A0E">
        <w:t>dimension to all this</w:t>
      </w:r>
      <w:r>
        <w:t>.</w:t>
      </w:r>
      <w:r w:rsidR="00E500A8">
        <w:t xml:space="preserve"> </w:t>
      </w:r>
      <w:r w:rsidR="00D37D16">
        <w:t xml:space="preserve">Mr Buttler KC was emphasising that MSF Fund grant had to be used as described in the grant conditions and MSF Non-Statutory Guidance. He was also </w:t>
      </w:r>
      <w:r w:rsidR="00AF467A">
        <w:t>arguing – and maintained – that the MSI Fund grant conditions and MSI Non-Statutory Guidance</w:t>
      </w:r>
      <w:r w:rsidR="00B70DA5">
        <w:t xml:space="preserve"> involved a duty to </w:t>
      </w:r>
      <w:r w:rsidR="00DB6F32">
        <w:t>‘</w:t>
      </w:r>
      <w:r w:rsidR="00B70DA5">
        <w:t>replicate</w:t>
      </w:r>
      <w:r w:rsidR="00DB6F32">
        <w:t>’</w:t>
      </w:r>
      <w:r w:rsidR="00B70DA5">
        <w:t xml:space="preserve"> the spending </w:t>
      </w:r>
      <w:r w:rsidR="004E3651">
        <w:t>from the MSF Fund.</w:t>
      </w:r>
      <w:r w:rsidR="00AF467A">
        <w:t xml:space="preserve"> </w:t>
      </w:r>
      <w:r w:rsidR="00AD0A8F">
        <w:t>The logic of this line of argument risk</w:t>
      </w:r>
      <w:r w:rsidR="0086000B">
        <w:t xml:space="preserve">ed ending up in </w:t>
      </w:r>
      <w:r w:rsidR="00DB6F32">
        <w:t>the following</w:t>
      </w:r>
      <w:r w:rsidR="0086000B">
        <w:t xml:space="preserve"> position</w:t>
      </w:r>
      <w:r w:rsidR="00DB6F32">
        <w:t>. The</w:t>
      </w:r>
      <w:r w:rsidR="0086000B">
        <w:t xml:space="preserve"> Claimant was saying </w:t>
      </w:r>
      <w:r w:rsidR="004758C0">
        <w:t xml:space="preserve">that </w:t>
      </w:r>
      <w:r w:rsidR="0086000B">
        <w:t xml:space="preserve">neither the MSF Fund grant, nor </w:t>
      </w:r>
      <w:r w:rsidR="00B85180">
        <w:t>replication under the MS</w:t>
      </w:r>
      <w:r w:rsidR="00B11E3B">
        <w:t>I</w:t>
      </w:r>
      <w:r w:rsidR="00B85180">
        <w:t xml:space="preserve"> Fund, could allow </w:t>
      </w:r>
      <w:r w:rsidR="004758C0">
        <w:t xml:space="preserve">the </w:t>
      </w:r>
      <w:r w:rsidR="00B85180">
        <w:t>grant allocation in favour of care home operators</w:t>
      </w:r>
      <w:r w:rsidR="004758C0">
        <w:t xml:space="preserve"> to cover inflationary pressures</w:t>
      </w:r>
      <w:r w:rsidR="005B33BE">
        <w:t>.</w:t>
      </w:r>
      <w:r w:rsidR="00C902F2">
        <w:t xml:space="preserve"> That would mean the care home operators should not have received</w:t>
      </w:r>
      <w:r w:rsidR="00523414">
        <w:t xml:space="preserve"> the allocations, on the basis on which they were made,</w:t>
      </w:r>
      <w:r w:rsidR="00C902F2">
        <w:t xml:space="preserve"> </w:t>
      </w:r>
      <w:r w:rsidR="00113E6A">
        <w:t xml:space="preserve">of </w:t>
      </w:r>
      <w:r w:rsidR="00C902F2">
        <w:t xml:space="preserve">the </w:t>
      </w:r>
      <w:r w:rsidR="00243860">
        <w:t>October 2022 £330k from the MSF Fund</w:t>
      </w:r>
      <w:r w:rsidR="006C07F5">
        <w:t xml:space="preserve"> (for the </w:t>
      </w:r>
      <w:r w:rsidR="004E0DA9">
        <w:t xml:space="preserve">four-month </w:t>
      </w:r>
      <w:r w:rsidR="006C07F5">
        <w:t>2.4</w:t>
      </w:r>
      <w:r w:rsidR="00B11E3B">
        <w:t>5</w:t>
      </w:r>
      <w:r w:rsidR="006C07F5">
        <w:t>% overall bump</w:t>
      </w:r>
      <w:r w:rsidR="004E0DA9">
        <w:t xml:space="preserve"> at the end of Year 2</w:t>
      </w:r>
      <w:r w:rsidR="006C07F5">
        <w:t>) and the May 2023 £</w:t>
      </w:r>
      <w:r w:rsidR="004E0DA9">
        <w:t>770k from the MSI Fund (for the 1.5% overall increase in Year 3).</w:t>
      </w:r>
      <w:r w:rsidR="00260B1D">
        <w:t xml:space="preserve"> They were at risk of talking their own allocations into illegality</w:t>
      </w:r>
      <w:r w:rsidR="009F2A70">
        <w:t>. And it would not follow that inflationary pressures would need to be addressed through Clause 17.4</w:t>
      </w:r>
      <w:r w:rsidR="004078BB">
        <w:t>.</w:t>
      </w:r>
      <w:r w:rsidR="002D392A">
        <w:t xml:space="preserve"> That would have involved the error of failing to distinguish </w:t>
      </w:r>
      <w:r w:rsidR="002D392A" w:rsidRPr="002D392A">
        <w:t xml:space="preserve">between fee level sufficiency (a) to cover inflationary cost increases </w:t>
      </w:r>
      <w:r w:rsidR="001D72D7">
        <w:t xml:space="preserve">(the grants) </w:t>
      </w:r>
      <w:r w:rsidR="002D392A" w:rsidRPr="002D392A">
        <w:t>and (b) to sustain the efficient and effective operation of a care home market</w:t>
      </w:r>
      <w:r w:rsidR="001D72D7">
        <w:t xml:space="preserve"> (clause 17.4).</w:t>
      </w:r>
    </w:p>
    <w:p w14:paraId="1ABA18A2" w14:textId="77FEBEF6" w:rsidR="00586917" w:rsidRPr="00586917" w:rsidRDefault="00586917" w:rsidP="00586917">
      <w:pPr>
        <w:pStyle w:val="ParaLevel1"/>
        <w:numPr>
          <w:ilvl w:val="0"/>
          <w:numId w:val="0"/>
        </w:numPr>
        <w:tabs>
          <w:tab w:val="left" w:pos="567"/>
        </w:tabs>
        <w:rPr>
          <w:u w:val="single"/>
        </w:rPr>
      </w:pPr>
      <w:r w:rsidRPr="00586917">
        <w:rPr>
          <w:u w:val="single"/>
        </w:rPr>
        <w:t>THE CLAUSE 17 DECISION</w:t>
      </w:r>
    </w:p>
    <w:p w14:paraId="63DB43F5" w14:textId="713BF418" w:rsidR="00671D32" w:rsidRDefault="008E4D64" w:rsidP="008E4D64">
      <w:pPr>
        <w:pStyle w:val="ParaLevel1"/>
        <w:tabs>
          <w:tab w:val="clear" w:pos="720"/>
          <w:tab w:val="left" w:pos="567"/>
        </w:tabs>
        <w:ind w:left="567" w:hanging="567"/>
      </w:pPr>
      <w:r>
        <w:t>Mr Buttler KC</w:t>
      </w:r>
      <w:r w:rsidR="00270BA3">
        <w:t xml:space="preserve"> submits that the</w:t>
      </w:r>
      <w:r w:rsidR="009D6D53">
        <w:t xml:space="preserve"> </w:t>
      </w:r>
      <w:r w:rsidR="00D22DFB">
        <w:t xml:space="preserve">2023 </w:t>
      </w:r>
      <w:r w:rsidR="009D6D53">
        <w:t xml:space="preserve">decision to apply the </w:t>
      </w:r>
      <w:r w:rsidR="0009520A">
        <w:t>B</w:t>
      </w:r>
      <w:r w:rsidR="009D6D53">
        <w:t xml:space="preserve">asic </w:t>
      </w:r>
      <w:r w:rsidR="0009520A">
        <w:t>C</w:t>
      </w:r>
      <w:r w:rsidR="009D6D53">
        <w:t xml:space="preserve">ontractual </w:t>
      </w:r>
      <w:r w:rsidR="0009520A">
        <w:t>M</w:t>
      </w:r>
      <w:r w:rsidR="009D6D53">
        <w:t xml:space="preserve">echanism of CPIH (8.8%) </w:t>
      </w:r>
      <w:r w:rsidR="0009520A">
        <w:t>for Year 3 (from 1.4.23)</w:t>
      </w:r>
      <w:r w:rsidR="00DB18A7">
        <w:t xml:space="preserve"> – without a clause 17.</w:t>
      </w:r>
      <w:r w:rsidR="00AD7E8B">
        <w:t xml:space="preserve">4 and 17.5 uplift – was </w:t>
      </w:r>
      <w:r w:rsidR="00F1517B">
        <w:lastRenderedPageBreak/>
        <w:t>unlawful</w:t>
      </w:r>
      <w:r w:rsidR="00DA6006">
        <w:t>. He says</w:t>
      </w:r>
      <w:r w:rsidR="00BB76EA">
        <w:t xml:space="preserve"> the </w:t>
      </w:r>
      <w:r w:rsidR="0009520A">
        <w:t>C</w:t>
      </w:r>
      <w:r w:rsidR="00BB76EA">
        <w:t xml:space="preserve">ourt should quash </w:t>
      </w:r>
      <w:r w:rsidR="0009520A">
        <w:t>the</w:t>
      </w:r>
      <w:r w:rsidR="00BB76EA">
        <w:t xml:space="preserve"> decision</w:t>
      </w:r>
      <w:r w:rsidR="00DA6006">
        <w:t>,</w:t>
      </w:r>
      <w:r w:rsidR="00BB76EA">
        <w:t xml:space="preserve"> or alternatively give a declaration as to its unlawfulness</w:t>
      </w:r>
      <w:r w:rsidR="001D327C">
        <w:t xml:space="preserve">. </w:t>
      </w:r>
      <w:r w:rsidR="0009520A">
        <w:t>Three linked</w:t>
      </w:r>
      <w:r w:rsidR="00D764BD">
        <w:t xml:space="preserve"> grounds </w:t>
      </w:r>
      <w:r w:rsidR="0009520A">
        <w:t xml:space="preserve">for judicial review </w:t>
      </w:r>
      <w:r w:rsidR="00D764BD">
        <w:t xml:space="preserve">are advanced. </w:t>
      </w:r>
      <w:r w:rsidR="004E17D5">
        <w:t xml:space="preserve">(1) </w:t>
      </w:r>
      <w:r w:rsidR="00D764BD">
        <w:t xml:space="preserve">First, that the </w:t>
      </w:r>
      <w:r w:rsidR="004E17D5">
        <w:t>C</w:t>
      </w:r>
      <w:r w:rsidR="00D764BD">
        <w:t>ouncil failed to ask and answer the question posed by clause 17</w:t>
      </w:r>
      <w:r w:rsidR="004E17D5">
        <w:t>.4</w:t>
      </w:r>
      <w:r w:rsidR="0083658F">
        <w:t>: see §§</w:t>
      </w:r>
      <w:r w:rsidR="00FD130D">
        <w:t>41-44</w:t>
      </w:r>
      <w:r w:rsidR="0083658F">
        <w:t xml:space="preserve"> below.</w:t>
      </w:r>
      <w:r w:rsidR="00B600E1">
        <w:t xml:space="preserve"> </w:t>
      </w:r>
      <w:r w:rsidR="004E17D5">
        <w:t xml:space="preserve">(2) </w:t>
      </w:r>
      <w:r w:rsidR="00B600E1">
        <w:t xml:space="preserve">Secondly, that the </w:t>
      </w:r>
      <w:r w:rsidR="004E17D5">
        <w:t>C</w:t>
      </w:r>
      <w:r w:rsidR="00B600E1">
        <w:t>ouncil</w:t>
      </w:r>
      <w:r w:rsidR="00114E1D">
        <w:t xml:space="preserve"> failed to make a legally sufficient enquiry</w:t>
      </w:r>
      <w:r w:rsidR="00581C41">
        <w:t xml:space="preserve"> into the scale of inflationary pressures faced by care homes</w:t>
      </w:r>
      <w:r w:rsidR="00221ED7">
        <w:t>: see §§</w:t>
      </w:r>
      <w:r w:rsidR="00FD130D">
        <w:t>45-49</w:t>
      </w:r>
      <w:r w:rsidR="00221ED7">
        <w:t xml:space="preserve"> below</w:t>
      </w:r>
      <w:r w:rsidR="00581C41">
        <w:t xml:space="preserve">. </w:t>
      </w:r>
      <w:r w:rsidR="004E17D5">
        <w:t xml:space="preserve">(3) </w:t>
      </w:r>
      <w:r w:rsidR="00581C41">
        <w:t xml:space="preserve">Thirdly, that the Council </w:t>
      </w:r>
      <w:r w:rsidR="0045072D">
        <w:t xml:space="preserve">failed to give legally adequate reasons for </w:t>
      </w:r>
      <w:r w:rsidR="00DA6006">
        <w:t>the</w:t>
      </w:r>
      <w:r w:rsidR="0045072D">
        <w:t xml:space="preserve"> decision</w:t>
      </w:r>
      <w:r w:rsidR="00221ED7">
        <w:t>: see §§</w:t>
      </w:r>
      <w:r w:rsidR="00FD130D">
        <w:t>50-51</w:t>
      </w:r>
      <w:r w:rsidR="00221ED7">
        <w:t xml:space="preserve"> below</w:t>
      </w:r>
      <w:r w:rsidR="0045072D">
        <w:t>.</w:t>
      </w:r>
      <w:r w:rsidR="000C12FB">
        <w:t xml:space="preserve"> In advancing these grounds for judicial review, reliance is placed on the express terms of clause 17</w:t>
      </w:r>
      <w:r w:rsidR="00887950">
        <w:t xml:space="preserve"> and on public law principles.</w:t>
      </w:r>
    </w:p>
    <w:p w14:paraId="673659D0" w14:textId="1CA7C126" w:rsidR="00032C83" w:rsidRDefault="001C2F0E" w:rsidP="00221353">
      <w:pPr>
        <w:pStyle w:val="ParaLevel1"/>
        <w:tabs>
          <w:tab w:val="clear" w:pos="720"/>
          <w:tab w:val="left" w:pos="567"/>
        </w:tabs>
        <w:ind w:left="567" w:hanging="567"/>
      </w:pPr>
      <w:r>
        <w:t xml:space="preserve">Ms Clement KC </w:t>
      </w:r>
      <w:r w:rsidR="004E17D5">
        <w:t xml:space="preserve">and Ms Al-Yassin </w:t>
      </w:r>
      <w:r>
        <w:t xml:space="preserve">submit that there is no basis for judicial review. </w:t>
      </w:r>
      <w:r w:rsidR="004D690B">
        <w:t xml:space="preserve">This is what they say. </w:t>
      </w:r>
      <w:r w:rsidR="00226425">
        <w:t xml:space="preserve">(1) </w:t>
      </w:r>
      <w:r>
        <w:t>Only the first ground (</w:t>
      </w:r>
      <w:r w:rsidR="00CF4265">
        <w:t>asking and answering the question posed by clause 17</w:t>
      </w:r>
      <w:r w:rsidR="004E17D5">
        <w:t>.4</w:t>
      </w:r>
      <w:r w:rsidR="00CF4265">
        <w:t xml:space="preserve">) </w:t>
      </w:r>
      <w:r w:rsidR="004E17D5">
        <w:t>is one which can be raised at all by</w:t>
      </w:r>
      <w:r w:rsidR="00CF4265">
        <w:t xml:space="preserve"> judicial review</w:t>
      </w:r>
      <w:r w:rsidR="004E17D5">
        <w:t xml:space="preserve">. </w:t>
      </w:r>
      <w:r w:rsidR="004C6B1D">
        <w:t>That first ground is</w:t>
      </w:r>
      <w:r w:rsidR="004E17D5">
        <w:t xml:space="preserve"> susceptible to judicial review because</w:t>
      </w:r>
      <w:r w:rsidR="00245FD6">
        <w:t xml:space="preserve"> of </w:t>
      </w:r>
      <w:r w:rsidR="004E17D5">
        <w:t>the</w:t>
      </w:r>
      <w:r w:rsidR="00245FD6">
        <w:t xml:space="preserve"> close relationship</w:t>
      </w:r>
      <w:r w:rsidR="000B7472">
        <w:t xml:space="preserve"> </w:t>
      </w:r>
      <w:r w:rsidR="004E17D5">
        <w:t>between the clause 17.4 question and</w:t>
      </w:r>
      <w:r w:rsidR="000B7472">
        <w:t xml:space="preserve"> the </w:t>
      </w:r>
      <w:r w:rsidR="004E17D5">
        <w:t xml:space="preserve">general </w:t>
      </w:r>
      <w:r w:rsidR="000B7472">
        <w:t>statutory duty in s</w:t>
      </w:r>
      <w:r w:rsidR="004E17D5">
        <w:t>.</w:t>
      </w:r>
      <w:r w:rsidR="000B7472">
        <w:t xml:space="preserve">5 of the 2014 </w:t>
      </w:r>
      <w:r w:rsidR="004E17D5">
        <w:t>A</w:t>
      </w:r>
      <w:r w:rsidR="000B7472">
        <w:t>ct</w:t>
      </w:r>
      <w:r w:rsidR="004C6B1D">
        <w:t>. That falls within</w:t>
      </w:r>
      <w:r w:rsidR="00627BCF">
        <w:t xml:space="preserve"> the principle in</w:t>
      </w:r>
      <w:r w:rsidR="00032C83">
        <w:t xml:space="preserve"> </w:t>
      </w:r>
      <w:r w:rsidR="00B756F0" w:rsidRPr="003B2D46">
        <w:rPr>
          <w:u w:val="single"/>
        </w:rPr>
        <w:t>Hampshire County Council v Supportways Community Services Ltd</w:t>
      </w:r>
      <w:r w:rsidR="00B756F0">
        <w:t xml:space="preserve"> </w:t>
      </w:r>
      <w:r w:rsidR="004E17D5">
        <w:t>[</w:t>
      </w:r>
      <w:r w:rsidR="00B756F0">
        <w:t>2006</w:t>
      </w:r>
      <w:r w:rsidR="004E17D5">
        <w:t>]</w:t>
      </w:r>
      <w:r w:rsidR="00B756F0">
        <w:t xml:space="preserve"> EWCA Civ</w:t>
      </w:r>
      <w:r w:rsidR="00CF3BB1">
        <w:t xml:space="preserve"> 1035 </w:t>
      </w:r>
      <w:r w:rsidR="00DB432B">
        <w:t xml:space="preserve">[2006] BLGR 836 </w:t>
      </w:r>
      <w:r w:rsidR="00032C83">
        <w:t>at §36.</w:t>
      </w:r>
      <w:r w:rsidR="00C3400E">
        <w:t xml:space="preserve"> The </w:t>
      </w:r>
      <w:r w:rsidR="00226425">
        <w:t xml:space="preserve">second </w:t>
      </w:r>
      <w:r w:rsidR="00006FAB">
        <w:t xml:space="preserve">ground (legally insufficient inquiry) </w:t>
      </w:r>
      <w:r w:rsidR="00226425">
        <w:t>and third</w:t>
      </w:r>
      <w:r w:rsidR="00C3400E">
        <w:t xml:space="preserve"> ground</w:t>
      </w:r>
      <w:r w:rsidR="00006FAB">
        <w:t xml:space="preserve"> (legally inadequate reasons)</w:t>
      </w:r>
      <w:r w:rsidR="00C3400E">
        <w:t xml:space="preserve"> </w:t>
      </w:r>
      <w:r w:rsidR="00AB2FCE">
        <w:t>cannot be raised by judicial review. That is</w:t>
      </w:r>
      <w:r w:rsidR="00C3400E">
        <w:t xml:space="preserve"> </w:t>
      </w:r>
      <w:r w:rsidR="004B5374">
        <w:t>for two reasons. First, because</w:t>
      </w:r>
      <w:r w:rsidR="00746694">
        <w:t xml:space="preserve"> </w:t>
      </w:r>
      <w:r w:rsidR="00C3400E">
        <w:t xml:space="preserve">they do not </w:t>
      </w:r>
      <w:r w:rsidR="001E325A">
        <w:t xml:space="preserve">fall within the </w:t>
      </w:r>
      <w:r w:rsidR="001E325A" w:rsidRPr="003B2D46">
        <w:rPr>
          <w:u w:val="single"/>
        </w:rPr>
        <w:t>Supportways</w:t>
      </w:r>
      <w:r w:rsidR="00754B80">
        <w:t xml:space="preserve"> principle</w:t>
      </w:r>
      <w:r w:rsidR="004B5374">
        <w:t>. Secondly, because they</w:t>
      </w:r>
      <w:r w:rsidR="00351D68">
        <w:t xml:space="preserve"> would involve the Court imposing</w:t>
      </w:r>
      <w:r w:rsidR="00746694">
        <w:t xml:space="preserve"> public law duties which have the effect of dil</w:t>
      </w:r>
      <w:r w:rsidR="001E1B53">
        <w:t>u</w:t>
      </w:r>
      <w:r w:rsidR="00746694">
        <w:t>ting or altering contractual terms freely concluded</w:t>
      </w:r>
      <w:r w:rsidR="00963C6D">
        <w:t>, infringing the</w:t>
      </w:r>
      <w:r w:rsidR="001E1B53">
        <w:t xml:space="preserve"> principle in</w:t>
      </w:r>
      <w:r w:rsidR="00746694">
        <w:t xml:space="preserve"> </w:t>
      </w:r>
      <w:r w:rsidR="00746694" w:rsidRPr="003B2D46">
        <w:rPr>
          <w:u w:val="single"/>
        </w:rPr>
        <w:t xml:space="preserve">R (Birmingham and Solihull </w:t>
      </w:r>
      <w:r w:rsidR="001E1B53" w:rsidRPr="003B2D46">
        <w:rPr>
          <w:u w:val="single"/>
        </w:rPr>
        <w:t>T</w:t>
      </w:r>
      <w:r w:rsidR="00746694" w:rsidRPr="003B2D46">
        <w:rPr>
          <w:u w:val="single"/>
        </w:rPr>
        <w:t xml:space="preserve">axi Association) v Birmingham </w:t>
      </w:r>
      <w:r w:rsidR="001E1B53" w:rsidRPr="003B2D46">
        <w:rPr>
          <w:u w:val="single"/>
        </w:rPr>
        <w:t>I</w:t>
      </w:r>
      <w:r w:rsidR="00746694" w:rsidRPr="003B2D46">
        <w:rPr>
          <w:u w:val="single"/>
        </w:rPr>
        <w:t xml:space="preserve">nternational </w:t>
      </w:r>
      <w:r w:rsidR="001E1B53" w:rsidRPr="003B2D46">
        <w:rPr>
          <w:u w:val="single"/>
        </w:rPr>
        <w:t>A</w:t>
      </w:r>
      <w:r w:rsidR="00746694" w:rsidRPr="003B2D46">
        <w:rPr>
          <w:u w:val="single"/>
        </w:rPr>
        <w:t>irport Ltd</w:t>
      </w:r>
      <w:r w:rsidR="00746694">
        <w:t xml:space="preserve"> </w:t>
      </w:r>
      <w:r w:rsidR="001E1B53">
        <w:t>[</w:t>
      </w:r>
      <w:r w:rsidR="00746694">
        <w:t>2009</w:t>
      </w:r>
      <w:r w:rsidR="001E1B53">
        <w:t>]</w:t>
      </w:r>
      <w:r w:rsidR="00746694">
        <w:t xml:space="preserve"> EWHC 1913 </w:t>
      </w:r>
      <w:r w:rsidR="000649AA">
        <w:t>(A</w:t>
      </w:r>
      <w:r w:rsidR="00746694">
        <w:t>dmin</w:t>
      </w:r>
      <w:r w:rsidR="000649AA">
        <w:t xml:space="preserve">) </w:t>
      </w:r>
      <w:r w:rsidR="00963C6D">
        <w:t xml:space="preserve">at </w:t>
      </w:r>
      <w:r w:rsidR="000649AA">
        <w:t>§41</w:t>
      </w:r>
      <w:r w:rsidR="00963C6D">
        <w:t>.</w:t>
      </w:r>
      <w:r w:rsidR="003B2D46">
        <w:t xml:space="preserve"> (2) Only the</w:t>
      </w:r>
      <w:r w:rsidR="00ED33B2">
        <w:t xml:space="preserve"> second and third grounds are pleaded grounds</w:t>
      </w:r>
      <w:r w:rsidR="003B2D46">
        <w:t>. The</w:t>
      </w:r>
      <w:r w:rsidR="00ED33B2">
        <w:t xml:space="preserve"> first is not</w:t>
      </w:r>
      <w:r w:rsidR="003B2D46">
        <w:t xml:space="preserve"> pleaded</w:t>
      </w:r>
      <w:r w:rsidR="00ED33B2">
        <w:t xml:space="preserve">. (3) </w:t>
      </w:r>
      <w:r w:rsidR="00C3400E">
        <w:t xml:space="preserve">None of the </w:t>
      </w:r>
      <w:r w:rsidR="002974BF">
        <w:t>three</w:t>
      </w:r>
      <w:r w:rsidR="00C3400E">
        <w:t xml:space="preserve"> grounds, in any event, is made out. In the context of a contractual arrangement, the judicial review </w:t>
      </w:r>
      <w:r w:rsidR="00221353">
        <w:t>C</w:t>
      </w:r>
      <w:r w:rsidR="00C3400E">
        <w:t xml:space="preserve">ourt will adopt a </w:t>
      </w:r>
      <w:r w:rsidR="00221353">
        <w:t>“</w:t>
      </w:r>
      <w:r w:rsidR="00C3400E">
        <w:t>light-touch</w:t>
      </w:r>
      <w:r w:rsidR="00221353">
        <w:t>”</w:t>
      </w:r>
      <w:r w:rsidR="00C3400E">
        <w:t xml:space="preserve"> intensity of review</w:t>
      </w:r>
      <w:r w:rsidR="002974BF">
        <w:t>, under the principle in</w:t>
      </w:r>
      <w:r w:rsidR="00C3400E">
        <w:t xml:space="preserve"> </w:t>
      </w:r>
      <w:r w:rsidR="00C3400E" w:rsidRPr="00D64F04">
        <w:rPr>
          <w:u w:val="single"/>
        </w:rPr>
        <w:t xml:space="preserve">R (British Gas </w:t>
      </w:r>
      <w:r w:rsidR="002974BF" w:rsidRPr="00D64F04">
        <w:rPr>
          <w:u w:val="single"/>
        </w:rPr>
        <w:t>T</w:t>
      </w:r>
      <w:r w:rsidR="00C3400E" w:rsidRPr="00D64F04">
        <w:rPr>
          <w:u w:val="single"/>
        </w:rPr>
        <w:t xml:space="preserve">rading) v Secretary of State for </w:t>
      </w:r>
      <w:r w:rsidR="002974BF" w:rsidRPr="00D64F04">
        <w:rPr>
          <w:u w:val="single"/>
        </w:rPr>
        <w:t>E</w:t>
      </w:r>
      <w:r w:rsidR="00C3400E" w:rsidRPr="00D64F04">
        <w:rPr>
          <w:u w:val="single"/>
        </w:rPr>
        <w:t xml:space="preserve">nergy </w:t>
      </w:r>
      <w:r w:rsidR="002974BF" w:rsidRPr="00D64F04">
        <w:rPr>
          <w:u w:val="single"/>
        </w:rPr>
        <w:t>S</w:t>
      </w:r>
      <w:r w:rsidR="00C3400E" w:rsidRPr="00D64F04">
        <w:rPr>
          <w:u w:val="single"/>
        </w:rPr>
        <w:t xml:space="preserve">ecurity and </w:t>
      </w:r>
      <w:r w:rsidR="002974BF" w:rsidRPr="00D64F04">
        <w:rPr>
          <w:u w:val="single"/>
        </w:rPr>
        <w:t>N</w:t>
      </w:r>
      <w:r w:rsidR="00C3400E" w:rsidRPr="00D64F04">
        <w:rPr>
          <w:u w:val="single"/>
        </w:rPr>
        <w:t xml:space="preserve">et </w:t>
      </w:r>
      <w:r w:rsidR="002974BF" w:rsidRPr="00D64F04">
        <w:rPr>
          <w:u w:val="single"/>
        </w:rPr>
        <w:t>Z</w:t>
      </w:r>
      <w:r w:rsidR="00C3400E" w:rsidRPr="00D64F04">
        <w:rPr>
          <w:u w:val="single"/>
        </w:rPr>
        <w:t>ero</w:t>
      </w:r>
      <w:r w:rsidR="00C3400E">
        <w:t xml:space="preserve"> </w:t>
      </w:r>
      <w:r w:rsidR="00C90580">
        <w:t>[</w:t>
      </w:r>
      <w:r w:rsidR="00D64F04">
        <w:t xml:space="preserve">2023] EWHC 1193 (Admin) </w:t>
      </w:r>
      <w:r w:rsidR="00FF4389">
        <w:t xml:space="preserve">at </w:t>
      </w:r>
      <w:r w:rsidR="00D64F04">
        <w:t>§</w:t>
      </w:r>
      <w:r w:rsidR="00FF4389">
        <w:t>168</w:t>
      </w:r>
      <w:r w:rsidR="00D64F04">
        <w:t>.</w:t>
      </w:r>
      <w:r w:rsidR="00221353">
        <w:t xml:space="preserve"> The principled degree of restraint and latitude is</w:t>
      </w:r>
      <w:r w:rsidR="00C3400E">
        <w:t xml:space="preserve"> </w:t>
      </w:r>
      <w:r w:rsidR="00221353">
        <w:t xml:space="preserve">in any event </w:t>
      </w:r>
      <w:r w:rsidR="00C3400E">
        <w:t xml:space="preserve">exemplified by </w:t>
      </w:r>
      <w:r w:rsidR="00321F73" w:rsidRPr="00321F73">
        <w:rPr>
          <w:u w:val="single"/>
        </w:rPr>
        <w:t>Care England</w:t>
      </w:r>
      <w:r w:rsidR="00321F73">
        <w:t xml:space="preserve"> and the predecessor to that case</w:t>
      </w:r>
      <w:r w:rsidR="00D17854">
        <w:t xml:space="preserve"> and this: </w:t>
      </w:r>
      <w:r w:rsidR="00D17854" w:rsidRPr="00386E30">
        <w:rPr>
          <w:u w:val="single"/>
        </w:rPr>
        <w:t>R (</w:t>
      </w:r>
      <w:r w:rsidR="00386E30" w:rsidRPr="00386E30">
        <w:rPr>
          <w:u w:val="single"/>
        </w:rPr>
        <w:t>C</w:t>
      </w:r>
      <w:r w:rsidR="00D17854" w:rsidRPr="00386E30">
        <w:rPr>
          <w:u w:val="single"/>
        </w:rPr>
        <w:t>are North East) v Northumberland County Council (No.1)</w:t>
      </w:r>
      <w:r w:rsidR="00D17854">
        <w:t xml:space="preserve"> [2013] EWCA Civ 1740 [2014] PTSR 758</w:t>
      </w:r>
      <w:r w:rsidR="00AD63B3">
        <w:t xml:space="preserve"> at §19 and 32</w:t>
      </w:r>
      <w:r w:rsidR="00386E30">
        <w:t>.</w:t>
      </w:r>
      <w:r w:rsidR="00C3400E">
        <w:t xml:space="preserve"> There was no failure to ask and answer the question posed by clause 17; there was no failure of reasonable enquiry; and there was no failure of legally adequate reasons. </w:t>
      </w:r>
      <w:r w:rsidR="00214B97">
        <w:t xml:space="preserve">(4) </w:t>
      </w:r>
      <w:r w:rsidR="00C3400E">
        <w:t>In any event the claim for judicial review should be dismissed, by reason of the lack of promptness in bringing it</w:t>
      </w:r>
      <w:r w:rsidR="00214B97">
        <w:t>;</w:t>
      </w:r>
      <w:r w:rsidR="00C3400E">
        <w:t xml:space="preserve"> or</w:t>
      </w:r>
      <w:r w:rsidR="00214B97">
        <w:t>,</w:t>
      </w:r>
      <w:r w:rsidR="00C3400E">
        <w:t xml:space="preserve"> independently of the question of delay, by reason of the clear detriment to good administration of having to unravel budget</w:t>
      </w:r>
      <w:r w:rsidR="00214B97">
        <w:t>-</w:t>
      </w:r>
      <w:r w:rsidR="00C3400E">
        <w:t>related decisions with consequences for resources and the imposition of a complex exercise in reconstructing the position of every relevant care home.</w:t>
      </w:r>
    </w:p>
    <w:p w14:paraId="069F62B5" w14:textId="77777777" w:rsidR="005D2116" w:rsidRDefault="00D5448E" w:rsidP="00DB432B">
      <w:pPr>
        <w:pStyle w:val="ParaLevel1"/>
        <w:tabs>
          <w:tab w:val="clear" w:pos="720"/>
          <w:tab w:val="left" w:pos="567"/>
        </w:tabs>
        <w:ind w:left="567" w:hanging="567"/>
      </w:pPr>
      <w:r>
        <w:t xml:space="preserve">I will set out some of the key passages on which Ms </w:t>
      </w:r>
      <w:r w:rsidR="005D2116">
        <w:t>Clement KC and Ms Al-Yassin rely:</w:t>
      </w:r>
    </w:p>
    <w:p w14:paraId="1540F273" w14:textId="25E06E70" w:rsidR="00DB432B" w:rsidRDefault="00C3400E" w:rsidP="005D2116">
      <w:pPr>
        <w:pStyle w:val="ParaLevel2"/>
        <w:tabs>
          <w:tab w:val="clear" w:pos="1418"/>
          <w:tab w:val="num" w:pos="1134"/>
        </w:tabs>
        <w:ind w:left="1134" w:hanging="567"/>
      </w:pPr>
      <w:r>
        <w:t>In t</w:t>
      </w:r>
      <w:r w:rsidR="00032C83">
        <w:t xml:space="preserve">he passage </w:t>
      </w:r>
      <w:r w:rsidR="00494AF6">
        <w:t xml:space="preserve">relied on by the Council </w:t>
      </w:r>
      <w:r w:rsidR="00032C83">
        <w:t xml:space="preserve">from </w:t>
      </w:r>
      <w:r w:rsidR="00032C83" w:rsidRPr="00C3400E">
        <w:rPr>
          <w:u w:val="single"/>
        </w:rPr>
        <w:t>Supportways</w:t>
      </w:r>
      <w:r>
        <w:t xml:space="preserve"> at §36, </w:t>
      </w:r>
      <w:r w:rsidR="00DB432B">
        <w:t xml:space="preserve">the then Neuberger LJ said </w:t>
      </w:r>
      <w:r>
        <w:t>this:</w:t>
      </w:r>
    </w:p>
    <w:p w14:paraId="1936C5E2" w14:textId="0EAE6675" w:rsidR="00DB432B" w:rsidRPr="00DB432B" w:rsidRDefault="00DB432B" w:rsidP="005D2116">
      <w:pPr>
        <w:pStyle w:val="ParaLevel1"/>
        <w:numPr>
          <w:ilvl w:val="0"/>
          <w:numId w:val="0"/>
        </w:numPr>
        <w:tabs>
          <w:tab w:val="left" w:pos="567"/>
        </w:tabs>
        <w:ind w:left="1701"/>
        <w:rPr>
          <w:b/>
          <w:bCs/>
          <w:i/>
          <w:iCs/>
        </w:rPr>
      </w:pPr>
      <w:r w:rsidRPr="00DB432B">
        <w:rPr>
          <w:b/>
          <w:bCs/>
          <w:i/>
          <w:iCs/>
          <w:sz w:val="20"/>
          <w:szCs w:val="16"/>
        </w:rPr>
        <w:t>The fact that a contractual obligation is framed by reference to a statutory duty does not, in my view, render that obligation a public law duty. Of course, where the statutory duty is owed to a contracting party independently of the contractual obligation, he can normally expect to be able to seek a public law remedy by reference to the duty, as well as, or instead of, a private law remedy by reference to the obligation. Howe</w:t>
      </w:r>
      <w:r w:rsidRPr="009C58BA">
        <w:rPr>
          <w:b/>
          <w:bCs/>
          <w:i/>
          <w:iCs/>
          <w:sz w:val="20"/>
          <w:szCs w:val="16"/>
        </w:rPr>
        <w:t>ver in the present case, the Council's public law duty, namely that arising under section 93, wa</w:t>
      </w:r>
      <w:r w:rsidRPr="00DB432B">
        <w:rPr>
          <w:b/>
          <w:bCs/>
          <w:i/>
          <w:iCs/>
          <w:sz w:val="20"/>
          <w:szCs w:val="16"/>
        </w:rPr>
        <w:t>s owed to the Secretary of State in relation to the provision of grants. There was, as it seems to me, no question of that duty being owed to providers such as the Company.</w:t>
      </w:r>
    </w:p>
    <w:p w14:paraId="037EC8A3" w14:textId="34BEAAE8" w:rsidR="00A32495" w:rsidRDefault="00763D23" w:rsidP="005D2116">
      <w:pPr>
        <w:pStyle w:val="ParaLevel1"/>
        <w:numPr>
          <w:ilvl w:val="0"/>
          <w:numId w:val="0"/>
        </w:numPr>
        <w:tabs>
          <w:tab w:val="left" w:pos="567"/>
        </w:tabs>
        <w:ind w:left="1134"/>
      </w:pPr>
      <w:r>
        <w:lastRenderedPageBreak/>
        <w:t xml:space="preserve">The reference was to s.93 of the Local Government Act </w:t>
      </w:r>
      <w:r w:rsidR="00A32495">
        <w:t>2000</w:t>
      </w:r>
      <w:r w:rsidR="000F12E5">
        <w:t>. It</w:t>
      </w:r>
      <w:r w:rsidR="00A32495">
        <w:t xml:space="preserve"> empowered the Secretary of State to pay </w:t>
      </w:r>
      <w:r w:rsidR="009C58BA">
        <w:t xml:space="preserve">conditional </w:t>
      </w:r>
      <w:r w:rsidR="00A32495">
        <w:t>grants to local authorities towards welfare services expenditure</w:t>
      </w:r>
      <w:r w:rsidR="009C58BA">
        <w:t>, with statutory guidance.</w:t>
      </w:r>
    </w:p>
    <w:p w14:paraId="532904C6" w14:textId="78C8DFAC" w:rsidR="000C12FB" w:rsidRDefault="00653D1E" w:rsidP="005D2116">
      <w:pPr>
        <w:pStyle w:val="ParaLevel2"/>
        <w:tabs>
          <w:tab w:val="clear" w:pos="1418"/>
          <w:tab w:val="num" w:pos="1134"/>
        </w:tabs>
        <w:ind w:left="1134" w:hanging="567"/>
      </w:pPr>
      <w:r>
        <w:t xml:space="preserve">In the passage </w:t>
      </w:r>
      <w:r w:rsidR="00494AF6">
        <w:t xml:space="preserve">relied on </w:t>
      </w:r>
      <w:r>
        <w:t xml:space="preserve">from </w:t>
      </w:r>
      <w:r w:rsidRPr="00070F9B">
        <w:rPr>
          <w:u w:val="single"/>
        </w:rPr>
        <w:t>Birmingham Taxi</w:t>
      </w:r>
      <w:r>
        <w:t xml:space="preserve"> at §41</w:t>
      </w:r>
      <w:r w:rsidR="00E300C7">
        <w:t>, Wyn Williams J</w:t>
      </w:r>
      <w:r w:rsidR="003F11F9">
        <w:t xml:space="preserve"> </w:t>
      </w:r>
      <w:r w:rsidR="00E300C7">
        <w:t>said this:</w:t>
      </w:r>
    </w:p>
    <w:p w14:paraId="59E12C69" w14:textId="11E351C2" w:rsidR="00E300C7" w:rsidRPr="00C97255" w:rsidRDefault="005D2116" w:rsidP="005D2116">
      <w:pPr>
        <w:pStyle w:val="ParaLevel1"/>
        <w:numPr>
          <w:ilvl w:val="0"/>
          <w:numId w:val="0"/>
        </w:numPr>
        <w:tabs>
          <w:tab w:val="left" w:pos="567"/>
        </w:tabs>
        <w:ind w:left="1701" w:hanging="981"/>
        <w:rPr>
          <w:b/>
          <w:bCs/>
          <w:i/>
          <w:iCs/>
        </w:rPr>
      </w:pPr>
      <w:r>
        <w:rPr>
          <w:b/>
          <w:bCs/>
          <w:i/>
          <w:iCs/>
          <w:sz w:val="20"/>
          <w:szCs w:val="16"/>
        </w:rPr>
        <w:tab/>
      </w:r>
      <w:r w:rsidR="00E57269" w:rsidRPr="00C97255">
        <w:rPr>
          <w:b/>
          <w:bCs/>
          <w:i/>
          <w:iCs/>
          <w:sz w:val="20"/>
          <w:szCs w:val="16"/>
        </w:rPr>
        <w:t>In the</w:t>
      </w:r>
      <w:r w:rsidR="0052753F" w:rsidRPr="00C97255">
        <w:rPr>
          <w:b/>
          <w:bCs/>
          <w:i/>
          <w:iCs/>
          <w:sz w:val="20"/>
          <w:szCs w:val="16"/>
        </w:rPr>
        <w:t xml:space="preserve">[] </w:t>
      </w:r>
      <w:r w:rsidR="00E57269" w:rsidRPr="00C97255">
        <w:rPr>
          <w:b/>
          <w:bCs/>
          <w:i/>
          <w:iCs/>
          <w:sz w:val="20"/>
          <w:szCs w:val="16"/>
        </w:rPr>
        <w:t>circumstances, in my judgment, a Court should be extremely cautious about imposing public law duties upon the contracting party which have the effect of diluting or altering contractual terms freely concluded.</w:t>
      </w:r>
    </w:p>
    <w:p w14:paraId="625777F6" w14:textId="1C4BDC91" w:rsidR="008269C3" w:rsidRDefault="00070F9B" w:rsidP="00905410">
      <w:pPr>
        <w:pStyle w:val="ParaLevel2"/>
        <w:tabs>
          <w:tab w:val="clear" w:pos="1418"/>
          <w:tab w:val="num" w:pos="1134"/>
        </w:tabs>
        <w:ind w:left="1134" w:hanging="567"/>
      </w:pPr>
      <w:r>
        <w:t xml:space="preserve">In the passage </w:t>
      </w:r>
      <w:r w:rsidR="00334998">
        <w:t xml:space="preserve">relied on </w:t>
      </w:r>
      <w:r>
        <w:t xml:space="preserve">from </w:t>
      </w:r>
      <w:r w:rsidRPr="003937D3">
        <w:rPr>
          <w:u w:val="single"/>
        </w:rPr>
        <w:t>British Gas Trading</w:t>
      </w:r>
      <w:r>
        <w:t xml:space="preserve"> at §</w:t>
      </w:r>
      <w:r w:rsidR="00FF4389">
        <w:t>168</w:t>
      </w:r>
      <w:r>
        <w:t xml:space="preserve">, </w:t>
      </w:r>
      <w:r w:rsidR="00751E7B">
        <w:t xml:space="preserve">the Divisional Court </w:t>
      </w:r>
      <w:r w:rsidR="003937D3">
        <w:t xml:space="preserve">(Singh LJ and Foxton J) </w:t>
      </w:r>
      <w:r w:rsidR="00751E7B">
        <w:t>said this</w:t>
      </w:r>
      <w:r w:rsidR="00B80060">
        <w:t>:</w:t>
      </w:r>
    </w:p>
    <w:p w14:paraId="50100FD7" w14:textId="7ECE9563" w:rsidR="00B80060" w:rsidRPr="007F419C" w:rsidRDefault="00B80060" w:rsidP="007F419C">
      <w:pPr>
        <w:pStyle w:val="ParaLevel1"/>
        <w:numPr>
          <w:ilvl w:val="0"/>
          <w:numId w:val="0"/>
        </w:numPr>
        <w:ind w:left="1701"/>
        <w:rPr>
          <w:b/>
          <w:bCs/>
          <w:i/>
          <w:iCs/>
          <w:sz w:val="20"/>
          <w:szCs w:val="16"/>
        </w:rPr>
      </w:pPr>
      <w:r w:rsidRPr="003F11F9">
        <w:rPr>
          <w:b/>
          <w:bCs/>
          <w:i/>
          <w:iCs/>
          <w:sz w:val="20"/>
          <w:szCs w:val="16"/>
        </w:rPr>
        <w:t xml:space="preserve">… the commercial context is important because the context is one in which the Court is called </w:t>
      </w:r>
      <w:r w:rsidR="00665477" w:rsidRPr="003F11F9">
        <w:rPr>
          <w:b/>
          <w:bCs/>
          <w:i/>
          <w:iCs/>
          <w:sz w:val="20"/>
          <w:szCs w:val="16"/>
        </w:rPr>
        <w:t>upon to perform a relatively ‘light touch’ intensity of judicial review.</w:t>
      </w:r>
      <w:r w:rsidR="007F419C" w:rsidRPr="007F419C">
        <w:rPr>
          <w:rFonts w:ascii="TimesNewRomanPSMT" w:hAnsi="TimesNewRomanPSMT"/>
          <w:color w:val="000000"/>
          <w:szCs w:val="24"/>
        </w:rPr>
        <w:t xml:space="preserve"> </w:t>
      </w:r>
      <w:r w:rsidR="007F419C" w:rsidRPr="007F419C">
        <w:rPr>
          <w:b/>
          <w:bCs/>
          <w:i/>
          <w:iCs/>
          <w:sz w:val="20"/>
          <w:szCs w:val="16"/>
        </w:rPr>
        <w:t>This is far from a context such as that concerning, for example, the</w:t>
      </w:r>
      <w:r w:rsidR="007F419C">
        <w:rPr>
          <w:b/>
          <w:bCs/>
          <w:i/>
          <w:iCs/>
          <w:sz w:val="20"/>
          <w:szCs w:val="16"/>
        </w:rPr>
        <w:t xml:space="preserve"> </w:t>
      </w:r>
      <w:r w:rsidR="007F419C" w:rsidRPr="007F419C">
        <w:rPr>
          <w:b/>
          <w:bCs/>
          <w:i/>
          <w:iCs/>
          <w:sz w:val="20"/>
          <w:szCs w:val="16"/>
        </w:rPr>
        <w:t>liberty of the individual, in which a more intensive scrutiny would be called for.</w:t>
      </w:r>
    </w:p>
    <w:p w14:paraId="42244B99" w14:textId="2544A3FF" w:rsidR="00645703" w:rsidRDefault="00EA6F32" w:rsidP="00882C1C">
      <w:pPr>
        <w:pStyle w:val="ParaLevel2"/>
        <w:tabs>
          <w:tab w:val="clear" w:pos="1418"/>
          <w:tab w:val="num" w:pos="1134"/>
        </w:tabs>
        <w:ind w:left="1134" w:hanging="567"/>
      </w:pPr>
      <w:r>
        <w:t>In</w:t>
      </w:r>
      <w:r w:rsidR="00017F33">
        <w:t xml:space="preserve"> the passages </w:t>
      </w:r>
      <w:r w:rsidR="00D0221E">
        <w:t xml:space="preserve">relied on </w:t>
      </w:r>
      <w:r w:rsidR="00017F33">
        <w:t>from</w:t>
      </w:r>
      <w:r>
        <w:t xml:space="preserve"> </w:t>
      </w:r>
      <w:r w:rsidRPr="00EA6F32">
        <w:rPr>
          <w:u w:val="single"/>
        </w:rPr>
        <w:t>Care North East (No.1)</w:t>
      </w:r>
      <w:r w:rsidR="00FF0CDE">
        <w:t xml:space="preserve">, </w:t>
      </w:r>
      <w:r w:rsidR="00017F33">
        <w:t>at §§19 and 32</w:t>
      </w:r>
      <w:r w:rsidR="00790F9B">
        <w:t xml:space="preserve"> – applied in </w:t>
      </w:r>
      <w:r w:rsidR="00790F9B">
        <w:rPr>
          <w:u w:val="single"/>
        </w:rPr>
        <w:t>Care England</w:t>
      </w:r>
      <w:r w:rsidR="00790F9B">
        <w:t xml:space="preserve"> – </w:t>
      </w:r>
      <w:r w:rsidR="00FF0CDE">
        <w:t>Sullivan LJ said this</w:t>
      </w:r>
      <w:r w:rsidR="00017F33">
        <w:t>:</w:t>
      </w:r>
    </w:p>
    <w:p w14:paraId="0ED7AE2A" w14:textId="77777777" w:rsidR="00FF0CDE" w:rsidRPr="00E52D4D" w:rsidRDefault="00FF0CDE" w:rsidP="00882C1C">
      <w:pPr>
        <w:pStyle w:val="ParaLevel1"/>
        <w:numPr>
          <w:ilvl w:val="0"/>
          <w:numId w:val="0"/>
        </w:numPr>
        <w:ind w:left="1701"/>
        <w:rPr>
          <w:b/>
          <w:bCs/>
          <w:i/>
          <w:iCs/>
          <w:sz w:val="20"/>
          <w:szCs w:val="16"/>
        </w:rPr>
      </w:pPr>
      <w:r w:rsidRPr="00E52D4D">
        <w:rPr>
          <w:b/>
          <w:bCs/>
          <w:i/>
          <w:iCs/>
          <w:sz w:val="20"/>
          <w:szCs w:val="16"/>
        </w:rPr>
        <w:t>it is important to remember that, provided some inquiry into the relevant factor to which due regard has to be paid is made by the decision-maker, it is generally for the decision-maker to decide on the manner and intensity of the inquiry to be undertaken into any relevant factor …</w:t>
      </w:r>
    </w:p>
    <w:p w14:paraId="7743F45C" w14:textId="42754364" w:rsidR="00FF0CDE" w:rsidRDefault="00CE7F41" w:rsidP="00882C1C">
      <w:pPr>
        <w:pStyle w:val="ParaLevel1"/>
        <w:numPr>
          <w:ilvl w:val="0"/>
          <w:numId w:val="0"/>
        </w:numPr>
        <w:ind w:left="1701"/>
      </w:pPr>
      <w:r w:rsidRPr="00E52D4D">
        <w:rPr>
          <w:b/>
          <w:bCs/>
          <w:i/>
          <w:iCs/>
          <w:sz w:val="20"/>
          <w:szCs w:val="16"/>
        </w:rPr>
        <w:t>[to] produce some form of arithmetical calculation setting out the figures attributed to the individual cost elements of providing care, such as: occupancy, staff, operating costs, management and administration, capital values per bed and financing costs</w:t>
      </w:r>
      <w:r w:rsidR="00D10F64" w:rsidRPr="00E52D4D">
        <w:rPr>
          <w:b/>
          <w:bCs/>
          <w:i/>
          <w:iCs/>
          <w:sz w:val="20"/>
          <w:szCs w:val="16"/>
        </w:rPr>
        <w:t xml:space="preserve"> …</w:t>
      </w:r>
      <w:r w:rsidRPr="00E52D4D">
        <w:rPr>
          <w:b/>
          <w:bCs/>
          <w:i/>
          <w:iCs/>
          <w:sz w:val="20"/>
          <w:szCs w:val="16"/>
        </w:rPr>
        <w:t xml:space="preserve"> is one way of</w:t>
      </w:r>
      <w:r w:rsidR="00D10F64" w:rsidRPr="00E52D4D">
        <w:rPr>
          <w:b/>
          <w:bCs/>
          <w:i/>
          <w:iCs/>
          <w:sz w:val="20"/>
          <w:szCs w:val="16"/>
        </w:rPr>
        <w:t xml:space="preserve"> </w:t>
      </w:r>
      <w:r w:rsidRPr="00E52D4D">
        <w:rPr>
          <w:b/>
          <w:bCs/>
          <w:i/>
          <w:iCs/>
          <w:sz w:val="20"/>
          <w:szCs w:val="16"/>
        </w:rPr>
        <w:t>having due regard for the actual costs of providing car</w:t>
      </w:r>
      <w:r w:rsidR="00D10F64" w:rsidRPr="00E52D4D">
        <w:rPr>
          <w:b/>
          <w:bCs/>
          <w:i/>
          <w:iCs/>
          <w:sz w:val="20"/>
          <w:szCs w:val="16"/>
        </w:rPr>
        <w:t>e</w:t>
      </w:r>
      <w:r w:rsidRPr="00E52D4D">
        <w:rPr>
          <w:b/>
          <w:bCs/>
          <w:i/>
          <w:iCs/>
          <w:sz w:val="20"/>
          <w:szCs w:val="16"/>
        </w:rPr>
        <w:t xml:space="preserve"> but it is not the</w:t>
      </w:r>
      <w:r w:rsidR="00D10F64" w:rsidRPr="00E52D4D">
        <w:rPr>
          <w:b/>
          <w:bCs/>
          <w:i/>
          <w:iCs/>
          <w:sz w:val="20"/>
          <w:szCs w:val="16"/>
        </w:rPr>
        <w:t xml:space="preserve"> </w:t>
      </w:r>
      <w:r w:rsidRPr="00E52D4D">
        <w:rPr>
          <w:b/>
          <w:bCs/>
          <w:i/>
          <w:iCs/>
          <w:sz w:val="20"/>
          <w:szCs w:val="16"/>
        </w:rPr>
        <w:t>only legally permissible</w:t>
      </w:r>
      <w:r w:rsidR="00D10F64" w:rsidRPr="00E52D4D">
        <w:rPr>
          <w:b/>
          <w:bCs/>
          <w:i/>
          <w:iCs/>
          <w:sz w:val="20"/>
          <w:szCs w:val="16"/>
        </w:rPr>
        <w:t xml:space="preserve"> </w:t>
      </w:r>
      <w:r w:rsidRPr="00E52D4D">
        <w:rPr>
          <w:b/>
          <w:bCs/>
          <w:i/>
          <w:iCs/>
          <w:sz w:val="20"/>
          <w:szCs w:val="16"/>
        </w:rPr>
        <w:t>way.</w:t>
      </w:r>
    </w:p>
    <w:p w14:paraId="6A6F5B65" w14:textId="3172E21D" w:rsidR="002C0997" w:rsidRPr="0044149A" w:rsidRDefault="00745EB5" w:rsidP="002C0997">
      <w:pPr>
        <w:pStyle w:val="ParaLevel1"/>
        <w:numPr>
          <w:ilvl w:val="0"/>
          <w:numId w:val="0"/>
        </w:numPr>
        <w:ind w:left="720" w:hanging="720"/>
        <w:rPr>
          <w:u w:val="single"/>
        </w:rPr>
      </w:pPr>
      <w:r w:rsidRPr="0044149A">
        <w:rPr>
          <w:u w:val="single"/>
        </w:rPr>
        <w:t xml:space="preserve">Fees, </w:t>
      </w:r>
      <w:r w:rsidR="0044149A" w:rsidRPr="0044149A">
        <w:rPr>
          <w:u w:val="single"/>
        </w:rPr>
        <w:t>SP Contract Arrangements</w:t>
      </w:r>
      <w:r w:rsidRPr="0044149A">
        <w:rPr>
          <w:u w:val="single"/>
        </w:rPr>
        <w:t xml:space="preserve"> and </w:t>
      </w:r>
      <w:r w:rsidR="00D62615" w:rsidRPr="0044149A">
        <w:rPr>
          <w:u w:val="single"/>
        </w:rPr>
        <w:t>Judicial Review</w:t>
      </w:r>
    </w:p>
    <w:p w14:paraId="4F6FBDFF" w14:textId="7F023212" w:rsidR="00325A33" w:rsidRDefault="00D0221E" w:rsidP="00325A33">
      <w:pPr>
        <w:pStyle w:val="ParaLevel1"/>
        <w:tabs>
          <w:tab w:val="clear" w:pos="720"/>
          <w:tab w:val="num" w:pos="567"/>
        </w:tabs>
        <w:ind w:left="567" w:hanging="567"/>
      </w:pPr>
      <w:r>
        <w:t>How, then, does judicial review apply in a context such as the present?</w:t>
      </w:r>
      <w:r w:rsidR="008D03CD">
        <w:t xml:space="preserve"> </w:t>
      </w:r>
      <w:r w:rsidR="004338A6">
        <w:t xml:space="preserve">In </w:t>
      </w:r>
      <w:r w:rsidR="004338A6" w:rsidRPr="008D03CD">
        <w:rPr>
          <w:u w:val="single"/>
        </w:rPr>
        <w:t>Care England</w:t>
      </w:r>
      <w:r w:rsidR="004338A6">
        <w:t xml:space="preserve">, </w:t>
      </w:r>
      <w:r w:rsidR="00FE128F">
        <w:t>the local authority</w:t>
      </w:r>
      <w:r w:rsidR="00D158B9">
        <w:t xml:space="preserve"> </w:t>
      </w:r>
      <w:r w:rsidR="00511822">
        <w:t xml:space="preserve">had </w:t>
      </w:r>
      <w:r w:rsidR="00A70531">
        <w:t xml:space="preserve">commissioned placements of individuals in care homes by </w:t>
      </w:r>
      <w:r w:rsidR="00DE3C48">
        <w:t>framework agreements</w:t>
      </w:r>
      <w:r w:rsidR="00825340">
        <w:t xml:space="preserve"> </w:t>
      </w:r>
      <w:r w:rsidR="00936A09">
        <w:t>(§13</w:t>
      </w:r>
      <w:r w:rsidR="005513D4">
        <w:t>(1)</w:t>
      </w:r>
      <w:r w:rsidR="00936A09">
        <w:t xml:space="preserve">) </w:t>
      </w:r>
      <w:r w:rsidR="00825340">
        <w:t>and spot contracts (§</w:t>
      </w:r>
      <w:r w:rsidR="009D28C9">
        <w:t xml:space="preserve">14). </w:t>
      </w:r>
      <w:r w:rsidR="00681250">
        <w:t xml:space="preserve">On 22.7.16 the </w:t>
      </w:r>
      <w:r w:rsidR="00FE128F">
        <w:t>local authority decided to make care home fee rate increases (</w:t>
      </w:r>
      <w:r w:rsidR="00F84F02">
        <w:t>§§34-35). The 2014 Act general duty (s.5</w:t>
      </w:r>
      <w:r w:rsidR="00F10D36">
        <w:t>(1)</w:t>
      </w:r>
      <w:r w:rsidR="00F84F02">
        <w:t xml:space="preserve">) and </w:t>
      </w:r>
      <w:r w:rsidR="00F10D36">
        <w:t xml:space="preserve">sustainability factor (s.5(2)(d)) had come into force </w:t>
      </w:r>
      <w:r w:rsidR="00301D1A">
        <w:t>on 1.4.15 (§</w:t>
      </w:r>
      <w:r w:rsidR="00A8578D">
        <w:t xml:space="preserve">15) </w:t>
      </w:r>
      <w:r w:rsidR="005A6CD6">
        <w:t>and the Statutory Guidance had been promulgated (</w:t>
      </w:r>
      <w:r w:rsidR="00301D1A">
        <w:t>§§10-11)</w:t>
      </w:r>
      <w:r w:rsidR="00A8578D">
        <w:t xml:space="preserve">. The impugned decision </w:t>
      </w:r>
      <w:r w:rsidR="006D15EF">
        <w:t>(22.7.16)</w:t>
      </w:r>
      <w:r w:rsidR="004338A6">
        <w:t xml:space="preserve"> declined to uplift care home fees on a “full cost of care” basis (§38)</w:t>
      </w:r>
      <w:r w:rsidR="006D15EF">
        <w:t xml:space="preserve">. The decision was challenged </w:t>
      </w:r>
      <w:r w:rsidR="00F90FB1">
        <w:t>by judicial review</w:t>
      </w:r>
      <w:r w:rsidR="00A841B8">
        <w:t>:</w:t>
      </w:r>
      <w:r w:rsidR="00F90FB1">
        <w:t xml:space="preserve"> for breach of </w:t>
      </w:r>
      <w:r w:rsidR="00911CBD">
        <w:t>s.5(1) and (2) statutory duties</w:t>
      </w:r>
      <w:r w:rsidR="00A841B8">
        <w:t xml:space="preserve">; </w:t>
      </w:r>
      <w:r w:rsidR="00A94E38">
        <w:t>for unjustified departure from the Statutory Guidance</w:t>
      </w:r>
      <w:r w:rsidR="00A841B8">
        <w:t>; and for public law unreasonableness.</w:t>
      </w:r>
      <w:r w:rsidR="004C4B31">
        <w:t xml:space="preserve"> All three judicial review grounds were determined on their legal merits (§§</w:t>
      </w:r>
      <w:r w:rsidR="008F6FFA">
        <w:t>48-73).</w:t>
      </w:r>
      <w:r w:rsidR="008766C0">
        <w:t xml:space="preserve"> The impugned decision was</w:t>
      </w:r>
      <w:r w:rsidR="004338A6">
        <w:t xml:space="preserve"> lawful and reasonable, and consistent with the key points in the</w:t>
      </w:r>
      <w:r w:rsidR="004338A6" w:rsidRPr="00EC4BD6">
        <w:t xml:space="preserve"> Statutory Guidance. The increase in </w:t>
      </w:r>
      <w:r w:rsidR="004338A6">
        <w:t>fees did not have to be one “which addressed in financial terms each of the sources of financial pressure experienced by care home providers” (§73(1)). There had been a legally sufficient enquiry as to information about the care home market in the local authority area (§54) and the local authority’s dealing with care home providers and a tendering exercise provided ample evidence of appropriateness of fee levels (§62).</w:t>
      </w:r>
      <w:r w:rsidR="00325A33">
        <w:t xml:space="preserve"> </w:t>
      </w:r>
      <w:r w:rsidR="0038021D">
        <w:t xml:space="preserve">What </w:t>
      </w:r>
      <w:r w:rsidR="00B410E9" w:rsidRPr="00325A33">
        <w:rPr>
          <w:u w:val="single"/>
        </w:rPr>
        <w:t>Care England</w:t>
      </w:r>
      <w:r w:rsidR="00B410E9">
        <w:t xml:space="preserve"> reflects is th</w:t>
      </w:r>
      <w:r w:rsidR="007E78D4">
        <w:t>e following</w:t>
      </w:r>
      <w:r w:rsidR="00B410E9">
        <w:t xml:space="preserve"> </w:t>
      </w:r>
      <w:r w:rsidR="002D5454">
        <w:t xml:space="preserve">principled </w:t>
      </w:r>
      <w:r w:rsidR="00B410E9">
        <w:t>position</w:t>
      </w:r>
      <w:r w:rsidR="00325A33">
        <w:t>:</w:t>
      </w:r>
    </w:p>
    <w:p w14:paraId="47C4787E" w14:textId="4DC3FE33" w:rsidR="00010800" w:rsidRDefault="007E41EF" w:rsidP="00D80EFA">
      <w:pPr>
        <w:pStyle w:val="ParaLevel1"/>
        <w:tabs>
          <w:tab w:val="clear" w:pos="720"/>
          <w:tab w:val="num" w:pos="567"/>
        </w:tabs>
        <w:ind w:left="567" w:hanging="567"/>
      </w:pPr>
      <w:r>
        <w:t xml:space="preserve">In the context of local authority care home placements and </w:t>
      </w:r>
      <w:r w:rsidR="00010800">
        <w:t xml:space="preserve">fee rates, notwithstanding that these rates are included within contracts between the local authority and the care home </w:t>
      </w:r>
      <w:r w:rsidR="00010800">
        <w:lastRenderedPageBreak/>
        <w:t xml:space="preserve">provider, </w:t>
      </w:r>
      <w:r w:rsidR="00412822">
        <w:t xml:space="preserve">conventional grounds for judicial review </w:t>
      </w:r>
      <w:r w:rsidR="008C46DD">
        <w:t>apply to a decision about fee increases,</w:t>
      </w:r>
      <w:r w:rsidR="00ED404F" w:rsidRPr="00325A33">
        <w:rPr>
          <w:szCs w:val="24"/>
        </w:rPr>
        <w:t xml:space="preserve"> </w:t>
      </w:r>
      <w:r w:rsidR="00EA6510" w:rsidRPr="00325A33">
        <w:rPr>
          <w:szCs w:val="24"/>
        </w:rPr>
        <w:t xml:space="preserve">where sufficiency </w:t>
      </w:r>
      <w:r w:rsidR="000B6215" w:rsidRPr="00325A33">
        <w:rPr>
          <w:szCs w:val="24"/>
        </w:rPr>
        <w:t xml:space="preserve">to </w:t>
      </w:r>
      <w:r w:rsidR="00ED404F" w:rsidRPr="00ED404F">
        <w:t>sustain the efficient and effective operation of a care home market</w:t>
      </w:r>
      <w:r w:rsidR="000B6215">
        <w:t xml:space="preserve"> is legally relevant.</w:t>
      </w:r>
      <w:r w:rsidR="00CF01BB">
        <w:t xml:space="preserve"> This is a public function. Parliament has imposed important statutory duties, in the general duty (s.5(1)) and the mandatory relevancy of the sustainability factor (s.5(1)(d)). Parliament has provided (s.</w:t>
      </w:r>
      <w:r w:rsidR="004078BB">
        <w:t>7</w:t>
      </w:r>
      <w:r w:rsidR="00CF01BB">
        <w:t>8) for Statutory Guidance</w:t>
      </w:r>
      <w:r w:rsidR="00DA1CCF">
        <w:t xml:space="preserve"> </w:t>
      </w:r>
      <w:r w:rsidR="00F765BD">
        <w:t>for local authorities to follow (absent good reason for departure)</w:t>
      </w:r>
      <w:r w:rsidR="00094B84">
        <w:t>. That Statutory Guidance itself</w:t>
      </w:r>
      <w:r w:rsidR="00DA1CCF">
        <w:t xml:space="preserve"> recognises</w:t>
      </w:r>
      <w:r w:rsidR="00873B64">
        <w:t xml:space="preserve"> SP Contract Arrangements (§11 </w:t>
      </w:r>
      <w:r w:rsidR="00D80EFA">
        <w:t>above)</w:t>
      </w:r>
      <w:r w:rsidR="002220D2">
        <w:t>,</w:t>
      </w:r>
      <w:r w:rsidR="00DA1CCF">
        <w:t xml:space="preserve"> and decisions about fee levels in </w:t>
      </w:r>
      <w:r w:rsidR="00D80EFA">
        <w:t>SP Contract Arrangements</w:t>
      </w:r>
      <w:r w:rsidR="009D30A9">
        <w:t xml:space="preserve">, </w:t>
      </w:r>
      <w:r w:rsidR="00DA1CCF">
        <w:t>as</w:t>
      </w:r>
      <w:r w:rsidR="002220D2">
        <w:t xml:space="preserve"> an important means</w:t>
      </w:r>
      <w:r w:rsidR="00DA1CCF">
        <w:t xml:space="preserve"> of </w:t>
      </w:r>
      <w:r w:rsidR="002220D2">
        <w:t xml:space="preserve">implementing and </w:t>
      </w:r>
      <w:r w:rsidR="00DA1CCF">
        <w:t xml:space="preserve">discharging </w:t>
      </w:r>
      <w:r w:rsidR="002220D2">
        <w:t>the statutory duties.</w:t>
      </w:r>
    </w:p>
    <w:p w14:paraId="4BE7E3E4" w14:textId="09A6A1D5" w:rsidR="003A375E" w:rsidRDefault="00BC1F8D" w:rsidP="00881CF1">
      <w:pPr>
        <w:pStyle w:val="ParaLevel1"/>
        <w:tabs>
          <w:tab w:val="clear" w:pos="720"/>
          <w:tab w:val="num" w:pos="567"/>
        </w:tabs>
        <w:ind w:left="567" w:hanging="567"/>
      </w:pPr>
      <w:r>
        <w:t>E</w:t>
      </w:r>
      <w:r w:rsidR="009360EF">
        <w:t>ven prior to the 2014 Act, it had authoritatively been established that</w:t>
      </w:r>
      <w:r w:rsidR="00A629BA">
        <w:t xml:space="preserve"> conventional judicial review grounds </w:t>
      </w:r>
      <w:r w:rsidR="009360EF">
        <w:t>were</w:t>
      </w:r>
      <w:r w:rsidR="00B42E10">
        <w:t xml:space="preserve"> applicable </w:t>
      </w:r>
      <w:r w:rsidR="00094B84">
        <w:t xml:space="preserve">in the context of </w:t>
      </w:r>
      <w:r w:rsidR="009E5DE2">
        <w:t xml:space="preserve">local authority </w:t>
      </w:r>
      <w:r w:rsidR="00094B84">
        <w:t xml:space="preserve">fee-setting for </w:t>
      </w:r>
      <w:r w:rsidR="009E5DE2">
        <w:t>care home placements. In</w:t>
      </w:r>
      <w:r w:rsidR="00B42E10">
        <w:t xml:space="preserve"> </w:t>
      </w:r>
      <w:r w:rsidR="00B42E10" w:rsidRPr="00772FBC">
        <w:rPr>
          <w:u w:val="single"/>
        </w:rPr>
        <w:t xml:space="preserve">R (Bevan &amp; Clarke LLP) v Neath Port Talbot County Borough </w:t>
      </w:r>
      <w:r w:rsidR="00772FBC" w:rsidRPr="00772FBC">
        <w:rPr>
          <w:u w:val="single"/>
        </w:rPr>
        <w:t>Council</w:t>
      </w:r>
      <w:r w:rsidR="00772FBC">
        <w:t xml:space="preserve"> [2012] EWHC 236 (Admin) [2012] LGR 728</w:t>
      </w:r>
      <w:r w:rsidR="009E5DE2">
        <w:t xml:space="preserve"> </w:t>
      </w:r>
      <w:r w:rsidR="00F90BE1">
        <w:t xml:space="preserve">the local authority was arranging care home placements pursuant to </w:t>
      </w:r>
      <w:r w:rsidR="00842E27">
        <w:t>the National Assistance Act 1948 ss.21 and 26</w:t>
      </w:r>
      <w:r w:rsidR="00EC3853">
        <w:t xml:space="preserve"> (§</w:t>
      </w:r>
      <w:r w:rsidR="0073428A">
        <w:t>11)</w:t>
      </w:r>
      <w:r w:rsidR="00842E27">
        <w:t>.</w:t>
      </w:r>
      <w:r w:rsidR="001F1A26">
        <w:t xml:space="preserve"> Care home fees were paid by the local authority to the care home provider under a contract. </w:t>
      </w:r>
      <w:r w:rsidR="00EC3853">
        <w:t xml:space="preserve">There was a </w:t>
      </w:r>
      <w:r w:rsidR="003D6E26">
        <w:t xml:space="preserve">consultants’ </w:t>
      </w:r>
      <w:r w:rsidR="00EC3853">
        <w:t xml:space="preserve">toolkit </w:t>
      </w:r>
      <w:r w:rsidR="0073428A">
        <w:t>(§7)</w:t>
      </w:r>
      <w:r w:rsidR="001C11F0">
        <w:t xml:space="preserve">, </w:t>
      </w:r>
      <w:r w:rsidR="00EC3853">
        <w:t>Government guidance (§15)</w:t>
      </w:r>
      <w:r w:rsidR="001C11F0">
        <w:t xml:space="preserve"> and a </w:t>
      </w:r>
      <w:r w:rsidR="00E840B0">
        <w:t>local Strategy (§20)</w:t>
      </w:r>
      <w:r w:rsidR="003D6E26">
        <w:t xml:space="preserve">. </w:t>
      </w:r>
      <w:r w:rsidR="002C7F16">
        <w:t>The impugned decision (</w:t>
      </w:r>
      <w:r w:rsidR="001A05F6">
        <w:t xml:space="preserve">25.3.11) </w:t>
      </w:r>
      <w:r w:rsidR="008525C7">
        <w:t>set the rates for 2011/12</w:t>
      </w:r>
      <w:r w:rsidR="00EE0E9A">
        <w:t xml:space="preserve"> and the care home operator claimants</w:t>
      </w:r>
      <w:r w:rsidR="002D60A6">
        <w:t xml:space="preserve"> sought judicial review on grounds of failing to take account of a relevant consideration, unjustified departure from guidance</w:t>
      </w:r>
      <w:r w:rsidR="00F867BF">
        <w:t xml:space="preserve">, procedural unfairness and unreasonableness </w:t>
      </w:r>
      <w:r w:rsidR="00786E2F">
        <w:t>(§43).</w:t>
      </w:r>
      <w:r w:rsidR="00A339BC">
        <w:t xml:space="preserve"> Conventional grounds for judicial review were available (§</w:t>
      </w:r>
      <w:r w:rsidR="00AD7CEE">
        <w:t>54)</w:t>
      </w:r>
      <w:r w:rsidR="006C1FFE">
        <w:t xml:space="preserve">. </w:t>
      </w:r>
      <w:r w:rsidR="0062192F">
        <w:t xml:space="preserve">In this context, “the setting of a fee under a contract” was </w:t>
      </w:r>
      <w:r w:rsidR="0096246D">
        <w:t>not a private act (§48).</w:t>
      </w:r>
      <w:r w:rsidR="004A0338">
        <w:t xml:space="preserve"> Local authorities had been given statutory responsibilit</w:t>
      </w:r>
      <w:r w:rsidR="002D254E">
        <w:t>ies</w:t>
      </w:r>
      <w:r w:rsidR="004A0338">
        <w:t xml:space="preserve"> </w:t>
      </w:r>
      <w:r w:rsidR="002D254E">
        <w:t>to make care home arrangements, discharging functions to which statutory guidance was applicable (§</w:t>
      </w:r>
      <w:r w:rsidR="00547464">
        <w:t>49).</w:t>
      </w:r>
      <w:r w:rsidR="00881CF1">
        <w:t xml:space="preserve"> </w:t>
      </w:r>
      <w:r w:rsidR="003A375E">
        <w:t xml:space="preserve">In </w:t>
      </w:r>
      <w:r w:rsidR="003A375E" w:rsidRPr="00881CF1">
        <w:rPr>
          <w:u w:val="single"/>
        </w:rPr>
        <w:t>Bevan</w:t>
      </w:r>
      <w:r w:rsidR="003A375E">
        <w:t xml:space="preserve">, Beatson J explained </w:t>
      </w:r>
      <w:r w:rsidR="00DC462D">
        <w:t xml:space="preserve">(at §51) </w:t>
      </w:r>
      <w:r w:rsidR="00D31035">
        <w:t>that this was consistent with</w:t>
      </w:r>
      <w:r w:rsidR="00DC462D">
        <w:t xml:space="preserve"> the</w:t>
      </w:r>
      <w:r w:rsidR="003A375E">
        <w:t xml:space="preserve"> </w:t>
      </w:r>
      <w:r w:rsidR="003A375E" w:rsidRPr="00881CF1">
        <w:rPr>
          <w:u w:val="single"/>
        </w:rPr>
        <w:t>Supportways</w:t>
      </w:r>
      <w:r w:rsidR="00DC462D" w:rsidRPr="00DC462D">
        <w:t xml:space="preserve"> case</w:t>
      </w:r>
      <w:r w:rsidR="00D31035">
        <w:t>.</w:t>
      </w:r>
      <w:r w:rsidR="00DC462D">
        <w:t xml:space="preserve"> </w:t>
      </w:r>
      <w:r w:rsidR="00DC462D" w:rsidRPr="00D230C3">
        <w:rPr>
          <w:u w:val="single"/>
        </w:rPr>
        <w:t>Supportways</w:t>
      </w:r>
      <w:r w:rsidR="00D31035">
        <w:t xml:space="preserve"> was a case where the substance of the dispute was whether or not a contract had come to an end in accordance with its terms</w:t>
      </w:r>
      <w:r w:rsidR="004D22C6">
        <w:t>, and the complaint was “solely” about whether the local authority had failed to comply with a “purely” contractual obligation</w:t>
      </w:r>
      <w:r w:rsidR="00DC462D">
        <w:t>.</w:t>
      </w:r>
    </w:p>
    <w:p w14:paraId="3379DD9F" w14:textId="3549F050" w:rsidR="006E6C87" w:rsidRDefault="004A3B2C" w:rsidP="00A53BDC">
      <w:pPr>
        <w:pStyle w:val="ParaLevel1"/>
        <w:tabs>
          <w:tab w:val="clear" w:pos="720"/>
          <w:tab w:val="num" w:pos="567"/>
        </w:tabs>
        <w:ind w:left="567" w:hanging="567"/>
      </w:pPr>
      <w:r>
        <w:t xml:space="preserve">After </w:t>
      </w:r>
      <w:r w:rsidRPr="004A3B2C">
        <w:rPr>
          <w:u w:val="single"/>
        </w:rPr>
        <w:t>Bevan</w:t>
      </w:r>
      <w:r>
        <w:t xml:space="preserve">, and before the 2014 Act and </w:t>
      </w:r>
      <w:r w:rsidRPr="004A3B2C">
        <w:rPr>
          <w:u w:val="single"/>
        </w:rPr>
        <w:t>Care England</w:t>
      </w:r>
      <w:r>
        <w:t xml:space="preserve">, there was </w:t>
      </w:r>
      <w:r w:rsidR="00CE0AAE" w:rsidRPr="00CE0AAE">
        <w:rPr>
          <w:u w:val="single"/>
        </w:rPr>
        <w:t>Care North East (No.1)</w:t>
      </w:r>
      <w:r>
        <w:t xml:space="preserve">, </w:t>
      </w:r>
      <w:r w:rsidR="00982A58">
        <w:t>another case about setting care home fees</w:t>
      </w:r>
      <w:r w:rsidR="009003E6">
        <w:t>.</w:t>
      </w:r>
      <w:r w:rsidR="00A80F83">
        <w:t xml:space="preserve"> </w:t>
      </w:r>
      <w:r w:rsidR="00D81E3C">
        <w:t>In that case, t</w:t>
      </w:r>
      <w:r w:rsidR="00A80F83">
        <w:t>he</w:t>
      </w:r>
      <w:r w:rsidR="006E6C87">
        <w:t xml:space="preserve"> local authority was arranging care home placements pursuant to the </w:t>
      </w:r>
      <w:r w:rsidR="00A80F83">
        <w:t>1948 Act</w:t>
      </w:r>
      <w:r w:rsidR="006E6C87">
        <w:t xml:space="preserve"> ss.21 and 26</w:t>
      </w:r>
      <w:r w:rsidR="00A80F83">
        <w:t>, in the context of statutory guidance</w:t>
      </w:r>
      <w:r w:rsidR="003D30B8">
        <w:t xml:space="preserve">, through </w:t>
      </w:r>
      <w:r w:rsidR="00635C61">
        <w:t>a “relationship” which was “</w:t>
      </w:r>
      <w:r w:rsidR="003D30B8">
        <w:t>contractual</w:t>
      </w:r>
      <w:r w:rsidR="00635C61">
        <w:t>”</w:t>
      </w:r>
      <w:r w:rsidR="00A80F83">
        <w:t xml:space="preserve"> (</w:t>
      </w:r>
      <w:r w:rsidR="000B21A6">
        <w:t>§4)</w:t>
      </w:r>
      <w:r w:rsidR="003D30B8">
        <w:t xml:space="preserve">. The </w:t>
      </w:r>
      <w:r w:rsidR="004250D8">
        <w:t xml:space="preserve">statutory </w:t>
      </w:r>
      <w:r w:rsidR="003D30B8">
        <w:t>guidance</w:t>
      </w:r>
      <w:r w:rsidR="000B1C7E">
        <w:t xml:space="preserve"> said </w:t>
      </w:r>
      <w:r w:rsidR="003D30B8">
        <w:t xml:space="preserve">that </w:t>
      </w:r>
      <w:r w:rsidR="000B1C7E">
        <w:t xml:space="preserve">due regard should be had to the actual costs of providing care (§6). </w:t>
      </w:r>
      <w:r w:rsidR="00426174">
        <w:t xml:space="preserve">The impugned decision was the setting of </w:t>
      </w:r>
      <w:r w:rsidR="00EC5BE5">
        <w:t>fee levels for 3 years (§1)</w:t>
      </w:r>
      <w:r w:rsidR="00452738">
        <w:t>. The judicial review claim</w:t>
      </w:r>
      <w:r w:rsidR="00A06E2D">
        <w:t xml:space="preserve"> alleged</w:t>
      </w:r>
      <w:r w:rsidR="002163C2">
        <w:t xml:space="preserve"> an unjustified</w:t>
      </w:r>
      <w:r w:rsidR="00D9206C">
        <w:t xml:space="preserve"> departure from the guidance</w:t>
      </w:r>
      <w:r w:rsidR="004250D8">
        <w:t xml:space="preserve"> by </w:t>
      </w:r>
      <w:r w:rsidR="00117C31">
        <w:t xml:space="preserve">reason of a </w:t>
      </w:r>
      <w:r w:rsidR="004250D8">
        <w:t>legally insufficient inquiry</w:t>
      </w:r>
      <w:r w:rsidR="00D9206C">
        <w:t xml:space="preserve"> (§</w:t>
      </w:r>
      <w:r w:rsidR="00AF7C18">
        <w:t>§</w:t>
      </w:r>
      <w:r w:rsidR="00D9206C">
        <w:t>8</w:t>
      </w:r>
      <w:r w:rsidR="00AF7C18">
        <w:t>, 18</w:t>
      </w:r>
      <w:r w:rsidR="00D9206C">
        <w:t>).</w:t>
      </w:r>
      <w:r w:rsidR="00781C76">
        <w:t xml:space="preserve"> Referencing </w:t>
      </w:r>
      <w:r w:rsidR="00781C76" w:rsidRPr="00781C76">
        <w:rPr>
          <w:u w:val="single"/>
        </w:rPr>
        <w:t>Bevan</w:t>
      </w:r>
      <w:r w:rsidR="00781C76">
        <w:t xml:space="preserve"> (§19), the Court of Appeal held that there had been </w:t>
      </w:r>
      <w:r w:rsidR="00117C31">
        <w:t>no unlawfulness</w:t>
      </w:r>
      <w:r w:rsidR="00A53BDC">
        <w:t>.</w:t>
      </w:r>
      <w:r w:rsidR="00A06E2D">
        <w:t xml:space="preserve"> Like </w:t>
      </w:r>
      <w:r w:rsidR="00A06E2D" w:rsidRPr="00D81E3C">
        <w:rPr>
          <w:u w:val="single"/>
        </w:rPr>
        <w:t>Bevan</w:t>
      </w:r>
      <w:r w:rsidR="00A06E2D">
        <w:t>, this was a judicial review claim on conventional grounds.</w:t>
      </w:r>
    </w:p>
    <w:p w14:paraId="05DE667B" w14:textId="19B7EA79" w:rsidR="00CA1618" w:rsidRDefault="007E78D4" w:rsidP="008766C0">
      <w:pPr>
        <w:pStyle w:val="ParaLevel1"/>
        <w:tabs>
          <w:tab w:val="clear" w:pos="720"/>
          <w:tab w:val="num" w:pos="567"/>
        </w:tabs>
        <w:ind w:left="567" w:hanging="567"/>
      </w:pPr>
      <w:r>
        <w:t>There is then</w:t>
      </w:r>
      <w:r w:rsidR="002A11D2">
        <w:t xml:space="preserve"> </w:t>
      </w:r>
      <w:r w:rsidR="00D85179">
        <w:t>th</w:t>
      </w:r>
      <w:r w:rsidR="009C3E77">
        <w:t>is</w:t>
      </w:r>
      <w:r w:rsidR="002A11D2">
        <w:t xml:space="preserve"> question</w:t>
      </w:r>
      <w:r w:rsidR="009C3E77">
        <w:t xml:space="preserve">. </w:t>
      </w:r>
      <w:r w:rsidR="00CA1618">
        <w:t>How</w:t>
      </w:r>
      <w:r w:rsidR="0061493F">
        <w:t xml:space="preserve"> </w:t>
      </w:r>
      <w:r w:rsidR="009C3E77">
        <w:t>do</w:t>
      </w:r>
      <w:r w:rsidR="002F1B29">
        <w:t>es</w:t>
      </w:r>
      <w:r w:rsidR="009C3E77">
        <w:t xml:space="preserve"> </w:t>
      </w:r>
      <w:r w:rsidR="00CE7ACF">
        <w:t xml:space="preserve">the content of </w:t>
      </w:r>
      <w:r w:rsidR="002F1B29">
        <w:t xml:space="preserve">the </w:t>
      </w:r>
      <w:r w:rsidR="00CE7ACF">
        <w:t xml:space="preserve">provisions within </w:t>
      </w:r>
      <w:r w:rsidR="00D80EFA">
        <w:t>an SP Contract Arrangement</w:t>
      </w:r>
      <w:r w:rsidR="00CE7ACF">
        <w:t xml:space="preserve"> fit </w:t>
      </w:r>
      <w:r w:rsidR="00A133BA">
        <w:t>alongside</w:t>
      </w:r>
      <w:r w:rsidR="00CE7ACF">
        <w:t xml:space="preserve"> the contextual </w:t>
      </w:r>
      <w:r w:rsidR="00D85179">
        <w:t>shape of the conventional grounds for judicial review</w:t>
      </w:r>
      <w:r w:rsidR="00B27244">
        <w:t>?</w:t>
      </w:r>
      <w:r w:rsidR="00A133BA">
        <w:t xml:space="preserve"> In my judgment, the principled position is this</w:t>
      </w:r>
      <w:r w:rsidR="00CA1618">
        <w:t>:</w:t>
      </w:r>
    </w:p>
    <w:p w14:paraId="01232C96" w14:textId="6C1C2A2F" w:rsidR="00B238B2" w:rsidRDefault="00D80785" w:rsidP="00B238B2">
      <w:pPr>
        <w:pStyle w:val="ParaLevel2"/>
        <w:tabs>
          <w:tab w:val="clear" w:pos="1418"/>
          <w:tab w:val="num" w:pos="1134"/>
        </w:tabs>
        <w:ind w:left="1134" w:hanging="567"/>
      </w:pPr>
      <w:r>
        <w:t>The</w:t>
      </w:r>
      <w:r w:rsidR="002E7634">
        <w:t xml:space="preserve"> </w:t>
      </w:r>
      <w:r>
        <w:t xml:space="preserve">contextual </w:t>
      </w:r>
      <w:r w:rsidR="002E7634">
        <w:t>application of conventional judicial review grounds</w:t>
      </w:r>
      <w:r>
        <w:t xml:space="preserve"> can be informed by the contents of </w:t>
      </w:r>
      <w:r w:rsidR="00D80EFA">
        <w:t>an SP Contract Arrangement</w:t>
      </w:r>
      <w:r>
        <w:t>.</w:t>
      </w:r>
      <w:r w:rsidR="007014A7">
        <w:t xml:space="preserve"> This cuts both ways</w:t>
      </w:r>
      <w:r w:rsidR="002D0535">
        <w:t>, where</w:t>
      </w:r>
      <w:r w:rsidR="004A0ED5">
        <w:t xml:space="preserve"> the agreement makes express provision for the </w:t>
      </w:r>
      <w:r w:rsidR="002D0535">
        <w:t xml:space="preserve">local authority’s </w:t>
      </w:r>
      <w:r w:rsidR="004A0ED5">
        <w:t xml:space="preserve">decision-making approach in setting </w:t>
      </w:r>
      <w:r w:rsidR="001D515C">
        <w:t xml:space="preserve">care home </w:t>
      </w:r>
      <w:r w:rsidR="004A0ED5">
        <w:t>fees</w:t>
      </w:r>
      <w:r w:rsidR="001D515C">
        <w:t xml:space="preserve">. </w:t>
      </w:r>
      <w:r w:rsidR="00B359A1">
        <w:t>First, t</w:t>
      </w:r>
      <w:r w:rsidR="001D515C">
        <w:t xml:space="preserve">he judicial review court may need to </w:t>
      </w:r>
      <w:r w:rsidR="00B359A1">
        <w:t xml:space="preserve">ensure that </w:t>
      </w:r>
      <w:r w:rsidR="00E015F0">
        <w:t xml:space="preserve">conventional judicial review standards – contextually applied – do not </w:t>
      </w:r>
      <w:r w:rsidR="00854F25">
        <w:t>go beyond</w:t>
      </w:r>
      <w:r w:rsidR="00E015F0">
        <w:t xml:space="preserve"> </w:t>
      </w:r>
      <w:r w:rsidR="00854F25">
        <w:t>an</w:t>
      </w:r>
      <w:r w:rsidR="00E015F0">
        <w:t xml:space="preserve"> express provision for the local authority’s decision-making approach</w:t>
      </w:r>
      <w:r w:rsidR="005341E2">
        <w:t xml:space="preserve">. Secondly, the judicial review court may need to ensure that conventional judicial review standards – contextually applied – do not </w:t>
      </w:r>
      <w:r w:rsidR="00854F25">
        <w:t>fall short of</w:t>
      </w:r>
      <w:r w:rsidR="002F1640">
        <w:t xml:space="preserve"> an</w:t>
      </w:r>
      <w:r w:rsidR="005341E2">
        <w:t xml:space="preserve"> express provision for the local authority’s decision-making approach.</w:t>
      </w:r>
      <w:r w:rsidR="002F1640">
        <w:t xml:space="preserve"> No more; but no less.</w:t>
      </w:r>
    </w:p>
    <w:p w14:paraId="62766C6E" w14:textId="692190CF" w:rsidR="00CF1BEF" w:rsidRDefault="00B22334" w:rsidP="00FF2F78">
      <w:pPr>
        <w:pStyle w:val="ParaLevel2"/>
        <w:tabs>
          <w:tab w:val="clear" w:pos="1418"/>
          <w:tab w:val="num" w:pos="1134"/>
        </w:tabs>
        <w:ind w:left="1134" w:hanging="567"/>
      </w:pPr>
      <w:r>
        <w:t>Th</w:t>
      </w:r>
      <w:r w:rsidR="00EC4531">
        <w:t>is</w:t>
      </w:r>
      <w:r>
        <w:t xml:space="preserve"> idea of </w:t>
      </w:r>
      <w:r w:rsidR="00EC4531">
        <w:t xml:space="preserve">principled </w:t>
      </w:r>
      <w:r>
        <w:t>convergence</w:t>
      </w:r>
      <w:r w:rsidR="00D95944">
        <w:t>, in certain situations,</w:t>
      </w:r>
      <w:r>
        <w:t xml:space="preserve"> of </w:t>
      </w:r>
      <w:r w:rsidR="00EC4531">
        <w:t xml:space="preserve">public law duties and the contents of </w:t>
      </w:r>
      <w:r w:rsidR="000B2B71">
        <w:t>an SP Contract Arrangement</w:t>
      </w:r>
      <w:r w:rsidR="00EC4531">
        <w:t xml:space="preserve"> </w:t>
      </w:r>
      <w:r w:rsidR="00C465BF">
        <w:t xml:space="preserve">– as to the decision-making approach – is consistent with the idea behind the </w:t>
      </w:r>
      <w:r w:rsidR="00C465BF" w:rsidRPr="00067B1E">
        <w:rPr>
          <w:u w:val="single"/>
        </w:rPr>
        <w:t>Supportways</w:t>
      </w:r>
      <w:r w:rsidR="00C465BF">
        <w:t xml:space="preserve"> principle.</w:t>
      </w:r>
      <w:r w:rsidR="001809ED">
        <w:t xml:space="preserve"> It fits with the </w:t>
      </w:r>
      <w:r w:rsidR="001809ED" w:rsidRPr="00067B1E">
        <w:rPr>
          <w:u w:val="single"/>
        </w:rPr>
        <w:t>Birmingham Taxi</w:t>
      </w:r>
      <w:r w:rsidR="001809ED">
        <w:t xml:space="preserve"> principle about a contractually agreed procedure</w:t>
      </w:r>
      <w:r w:rsidR="00BD30A5">
        <w:t xml:space="preserve">, endorsed in </w:t>
      </w:r>
      <w:r w:rsidR="00BD30A5" w:rsidRPr="00067B1E">
        <w:rPr>
          <w:u w:val="single"/>
        </w:rPr>
        <w:t>Bevan</w:t>
      </w:r>
      <w:r w:rsidR="00BD30A5">
        <w:t xml:space="preserve"> at §54.</w:t>
      </w:r>
      <w:r w:rsidR="003630B0">
        <w:t xml:space="preserve"> The judicial review court may need to be cautious so as not to cut across the contract. </w:t>
      </w:r>
      <w:r w:rsidR="00387278">
        <w:t xml:space="preserve">The content of conventional judicial review grounds – contextually applied – may </w:t>
      </w:r>
      <w:r w:rsidR="00E3100D">
        <w:t>match</w:t>
      </w:r>
      <w:r w:rsidR="00387278">
        <w:t xml:space="preserve"> the decision-making approach in the</w:t>
      </w:r>
      <w:r w:rsidR="00067B1E">
        <w:t xml:space="preserve"> SP Contract Arrangement</w:t>
      </w:r>
      <w:r w:rsidR="00E3100D">
        <w:t xml:space="preserve">. In the present case, </w:t>
      </w:r>
      <w:r w:rsidR="00530EAC">
        <w:t xml:space="preserve">suppose care home operators had written to the Council in February </w:t>
      </w:r>
      <w:r w:rsidR="00480C24">
        <w:t xml:space="preserve">2023, </w:t>
      </w:r>
      <w:r w:rsidR="00530EAC">
        <w:t>supplying their evidence of insufficiency</w:t>
      </w:r>
      <w:r w:rsidR="00480C24">
        <w:t>. Would it be procedurally unfair for the Council to decline to consider that material in setting the fee levels from 1.4.23</w:t>
      </w:r>
      <w:r w:rsidR="00857E92">
        <w:t xml:space="preserve">? The contextual application of the conventional judicial review grounds would have regard to the fact that the </w:t>
      </w:r>
      <w:r w:rsidR="00901726">
        <w:t xml:space="preserve">2021 Agreement </w:t>
      </w:r>
      <w:r w:rsidR="006D62AB">
        <w:t>wa</w:t>
      </w:r>
      <w:r w:rsidR="00901726">
        <w:t xml:space="preserve">s </w:t>
      </w:r>
      <w:r w:rsidR="00067B1E">
        <w:t>an SP Contract Arrangement</w:t>
      </w:r>
      <w:r w:rsidR="00857E92">
        <w:t xml:space="preserve"> </w:t>
      </w:r>
      <w:r w:rsidR="00901726">
        <w:t xml:space="preserve">which </w:t>
      </w:r>
      <w:r w:rsidR="00857E92">
        <w:t>specifie</w:t>
      </w:r>
      <w:r w:rsidR="006D62AB">
        <w:t>d</w:t>
      </w:r>
      <w:r w:rsidR="006B0AE9">
        <w:t xml:space="preserve"> a letter written by the end of December. </w:t>
      </w:r>
      <w:r w:rsidR="00FB119D">
        <w:t>But</w:t>
      </w:r>
      <w:r w:rsidR="006B0AE9">
        <w:t xml:space="preserve"> equally, </w:t>
      </w:r>
      <w:r w:rsidR="006D62AB">
        <w:t>it specified</w:t>
      </w:r>
      <w:r w:rsidR="006B0AE9">
        <w:t xml:space="preserve"> a decision by the </w:t>
      </w:r>
      <w:r w:rsidR="00D60EB6">
        <w:t>Council, a response, and – if satisfied that a criterion is met – a further uplift in fees.</w:t>
      </w:r>
      <w:r w:rsidR="0054366A">
        <w:t xml:space="preserve"> There is, in my judgment, no reason in principle why this should not – equally – inform the contextual application of the conventional judicial review grounds</w:t>
      </w:r>
      <w:r w:rsidR="003E1212">
        <w:t>. There is every reason why it should.</w:t>
      </w:r>
      <w:r w:rsidR="00857F0F">
        <w:t xml:space="preserve"> </w:t>
      </w:r>
      <w:r w:rsidR="002C4885">
        <w:t>SP Contract Arrangements</w:t>
      </w:r>
      <w:r w:rsidR="003E1212">
        <w:t xml:space="preserve"> are recognised in the Statutory Guidance</w:t>
      </w:r>
      <w:r w:rsidR="00A67BCF">
        <w:t>, as a means of implementing the statutory duties. They deliver that implementation. They crystallise the position</w:t>
      </w:r>
      <w:r w:rsidR="00851D7C">
        <w:t>.</w:t>
      </w:r>
    </w:p>
    <w:p w14:paraId="4612B61F" w14:textId="114C82FC" w:rsidR="00803893" w:rsidRDefault="00851D7C" w:rsidP="00857F0F">
      <w:pPr>
        <w:pStyle w:val="ParaLevel2"/>
        <w:tabs>
          <w:tab w:val="clear" w:pos="1418"/>
          <w:tab w:val="num" w:pos="1134"/>
        </w:tabs>
        <w:ind w:left="1134" w:hanging="567"/>
      </w:pPr>
      <w:r>
        <w:t>If a local authority chose a policy or a strategy or a scheme</w:t>
      </w:r>
      <w:r w:rsidR="009F07EA">
        <w:t xml:space="preserve"> or even wrote letters</w:t>
      </w:r>
      <w:r>
        <w:t xml:space="preserve">, if it gave clear and unambiguous and qualified </w:t>
      </w:r>
      <w:r w:rsidR="00992267">
        <w:t xml:space="preserve">representations as to what it would do, these would inform the conventional </w:t>
      </w:r>
      <w:r w:rsidR="00DD5A79">
        <w:t>grounds for judicial review. Public law recognises the difference that a promise can ma</w:t>
      </w:r>
      <w:r w:rsidR="00600E71">
        <w:t>k</w:t>
      </w:r>
      <w:r w:rsidR="00DD5A79">
        <w:t>e</w:t>
      </w:r>
      <w:r w:rsidR="004F758F">
        <w:t>, through the principles of legitimate expectations.</w:t>
      </w:r>
      <w:r w:rsidR="00026210">
        <w:t xml:space="preserve"> There are legitimate expectation cases about</w:t>
      </w:r>
      <w:r w:rsidR="003871CA">
        <w:t xml:space="preserve"> conduct “equivalent” to breach of contract or breach of</w:t>
      </w:r>
      <w:r w:rsidR="00026210">
        <w:t xml:space="preserve"> representation</w:t>
      </w:r>
      <w:r w:rsidR="003871CA">
        <w:t xml:space="preserve">: </w:t>
      </w:r>
      <w:r w:rsidR="003871CA" w:rsidRPr="007663D0">
        <w:rPr>
          <w:u w:val="single"/>
        </w:rPr>
        <w:t>De Smith’s Judicial Review</w:t>
      </w:r>
      <w:r w:rsidR="003871CA">
        <w:t xml:space="preserve"> §</w:t>
      </w:r>
      <w:r w:rsidR="007663D0">
        <w:t>7-021</w:t>
      </w:r>
      <w:r w:rsidR="00026210">
        <w:t>.</w:t>
      </w:r>
      <w:r w:rsidR="00BB548D">
        <w:t xml:space="preserve"> I accept that, when a </w:t>
      </w:r>
      <w:r w:rsidR="00373A29">
        <w:t>clear promise</w:t>
      </w:r>
      <w:r w:rsidR="00BB548D">
        <w:t xml:space="preserve"> crosses a line to become </w:t>
      </w:r>
      <w:r w:rsidR="00373A29">
        <w:t>a concluded contract</w:t>
      </w:r>
      <w:r w:rsidR="00BB548D">
        <w:t xml:space="preserve">, </w:t>
      </w:r>
      <w:r w:rsidR="00C40CD9">
        <w:t>that</w:t>
      </w:r>
      <w:r w:rsidR="00BB548D">
        <w:t xml:space="preserve"> brings into play </w:t>
      </w:r>
      <w:r w:rsidR="00F61740">
        <w:t>remedies and</w:t>
      </w:r>
      <w:r w:rsidR="0080433E">
        <w:t xml:space="preserve"> enforcement mechanisms of private law. </w:t>
      </w:r>
      <w:r w:rsidR="007663D0">
        <w:t xml:space="preserve">What </w:t>
      </w:r>
      <w:r w:rsidR="0080433E">
        <w:t xml:space="preserve">I cannot accept </w:t>
      </w:r>
      <w:r w:rsidR="007663D0">
        <w:t xml:space="preserve">is </w:t>
      </w:r>
      <w:r w:rsidR="0080433E">
        <w:t xml:space="preserve">that, </w:t>
      </w:r>
      <w:r w:rsidR="00C40CD9">
        <w:t>in crossing that</w:t>
      </w:r>
      <w:r w:rsidR="0080433E">
        <w:t xml:space="preserve"> line, </w:t>
      </w:r>
      <w:r w:rsidR="00C40CD9">
        <w:t>the clear promise</w:t>
      </w:r>
      <w:r w:rsidR="0080433E">
        <w:t xml:space="preserve"> </w:t>
      </w:r>
      <w:r w:rsidR="007663D0">
        <w:t xml:space="preserve">necessarily and </w:t>
      </w:r>
      <w:r w:rsidR="0080433E">
        <w:t xml:space="preserve">immediately loses any </w:t>
      </w:r>
      <w:r w:rsidR="00B75464">
        <w:t xml:space="preserve">traction in informing the </w:t>
      </w:r>
      <w:r w:rsidR="00C40CD9">
        <w:t xml:space="preserve">content of </w:t>
      </w:r>
      <w:r w:rsidR="00B75464">
        <w:t>conventional grounds for judicial review. What care home</w:t>
      </w:r>
      <w:r w:rsidR="006E66CB">
        <w:t xml:space="preserve"> operator</w:t>
      </w:r>
      <w:r w:rsidR="00B75464">
        <w:t xml:space="preserve">s may need are prompt </w:t>
      </w:r>
      <w:r w:rsidR="009261F7">
        <w:t xml:space="preserve">public law remedies. It would be </w:t>
      </w:r>
      <w:r w:rsidR="00E45D89">
        <w:t>odd and unsatisfactory</w:t>
      </w:r>
      <w:r w:rsidR="009261F7">
        <w:t xml:space="preserve"> if their position </w:t>
      </w:r>
      <w:r w:rsidR="003A0141">
        <w:t xml:space="preserve">as to public law protection </w:t>
      </w:r>
      <w:r w:rsidR="009261F7">
        <w:t xml:space="preserve">was stronger </w:t>
      </w:r>
      <w:r w:rsidR="00F10191">
        <w:t>through the contents of</w:t>
      </w:r>
      <w:r w:rsidR="009261F7">
        <w:t xml:space="preserve"> clear </w:t>
      </w:r>
      <w:r w:rsidR="00DE1EBF">
        <w:t xml:space="preserve">promises and </w:t>
      </w:r>
      <w:r w:rsidR="009261F7">
        <w:t xml:space="preserve">representations about a decision-making approach, under a </w:t>
      </w:r>
      <w:r w:rsidR="009F07EA">
        <w:t xml:space="preserve">policy or strategy or scheme or even a letter; but then </w:t>
      </w:r>
      <w:r w:rsidR="003A0141">
        <w:t xml:space="preserve">suddenly vanished </w:t>
      </w:r>
      <w:r w:rsidR="00F10191">
        <w:t>by signing on the dotted line.</w:t>
      </w:r>
      <w:r w:rsidR="00B0477D">
        <w:t xml:space="preserve"> It would </w:t>
      </w:r>
      <w:r w:rsidR="00DE1EBF">
        <w:t xml:space="preserve">also </w:t>
      </w:r>
      <w:r w:rsidR="00E45D89">
        <w:t>be odd and unsatisfactory</w:t>
      </w:r>
      <w:r w:rsidR="00B0477D">
        <w:t xml:space="preserve"> to find the local authority able to </w:t>
      </w:r>
      <w:r w:rsidR="0023229A">
        <w:t xml:space="preserve">defeat judicial review </w:t>
      </w:r>
      <w:r w:rsidR="005A4B2B">
        <w:t xml:space="preserve">claims </w:t>
      </w:r>
      <w:r w:rsidR="005D6812">
        <w:t xml:space="preserve">by </w:t>
      </w:r>
      <w:r w:rsidR="003B2309">
        <w:t xml:space="preserve">insisting on </w:t>
      </w:r>
      <w:r w:rsidR="00C7484E">
        <w:t>having it both ways:</w:t>
      </w:r>
      <w:r w:rsidR="0023229A">
        <w:t xml:space="preserve"> </w:t>
      </w:r>
      <w:r w:rsidR="001D1E75">
        <w:t xml:space="preserve">relying on the </w:t>
      </w:r>
      <w:r w:rsidR="002C4885">
        <w:t>SP Contract Arrangement</w:t>
      </w:r>
      <w:r w:rsidR="000E3053">
        <w:t>,</w:t>
      </w:r>
      <w:r w:rsidR="001D1E75">
        <w:t xml:space="preserve"> </w:t>
      </w:r>
      <w:r w:rsidR="000E3053">
        <w:t xml:space="preserve">so as </w:t>
      </w:r>
      <w:r w:rsidR="007A5AB4">
        <w:t>to insist that</w:t>
      </w:r>
      <w:r w:rsidR="0023229A">
        <w:t xml:space="preserve"> </w:t>
      </w:r>
      <w:r w:rsidR="00A427D2">
        <w:t>public law require</w:t>
      </w:r>
      <w:r w:rsidR="00C7484E">
        <w:t>s</w:t>
      </w:r>
      <w:r w:rsidR="00A427D2">
        <w:t xml:space="preserve"> no more; </w:t>
      </w:r>
      <w:r w:rsidR="00C7484E">
        <w:t>and also</w:t>
      </w:r>
      <w:r w:rsidR="008B4854">
        <w:t xml:space="preserve"> </w:t>
      </w:r>
      <w:r w:rsidR="000E3053">
        <w:t>opposing</w:t>
      </w:r>
      <w:r w:rsidR="008B4854">
        <w:t xml:space="preserve"> reliance on the agreement</w:t>
      </w:r>
      <w:r w:rsidR="000E3053">
        <w:t>, so as</w:t>
      </w:r>
      <w:r w:rsidR="008B4854">
        <w:t xml:space="preserve"> </w:t>
      </w:r>
      <w:r w:rsidR="000E3053">
        <w:t>to insist</w:t>
      </w:r>
      <w:r w:rsidR="00C7484E">
        <w:t xml:space="preserve"> </w:t>
      </w:r>
      <w:r w:rsidR="003B2309">
        <w:t xml:space="preserve">that </w:t>
      </w:r>
      <w:r w:rsidR="008B4854">
        <w:t xml:space="preserve">public law </w:t>
      </w:r>
      <w:r w:rsidR="003B2309">
        <w:t>requires less</w:t>
      </w:r>
      <w:r w:rsidR="005A4B2B">
        <w:t>.</w:t>
      </w:r>
    </w:p>
    <w:p w14:paraId="5FC7BABA" w14:textId="1CA066FE" w:rsidR="00F90E75" w:rsidRDefault="00F90E75" w:rsidP="005C6623">
      <w:pPr>
        <w:pStyle w:val="ParaLevel1"/>
        <w:tabs>
          <w:tab w:val="clear" w:pos="720"/>
          <w:tab w:val="num" w:pos="567"/>
        </w:tabs>
        <w:ind w:left="567" w:hanging="567"/>
      </w:pPr>
      <w:r>
        <w:t xml:space="preserve">For these reasons, I accept Mr Buttler KC’s submissions that there is a feature of the present case which distinguishes it from </w:t>
      </w:r>
      <w:r w:rsidR="00DE60DF" w:rsidRPr="00DE60DF">
        <w:rPr>
          <w:u w:val="single"/>
        </w:rPr>
        <w:t>Care England</w:t>
      </w:r>
      <w:r w:rsidR="001A2B5D">
        <w:t xml:space="preserve">, and </w:t>
      </w:r>
      <w:r w:rsidR="001A2B5D" w:rsidRPr="001A2B5D">
        <w:rPr>
          <w:u w:val="single"/>
        </w:rPr>
        <w:t>Care North East (No.1)</w:t>
      </w:r>
      <w:r w:rsidR="001A2B5D">
        <w:t xml:space="preserve"> before it.</w:t>
      </w:r>
      <w:r w:rsidR="00DE60DF">
        <w:t xml:space="preserve"> </w:t>
      </w:r>
      <w:r w:rsidR="00915B87">
        <w:t>That feature is</w:t>
      </w:r>
      <w:r w:rsidR="00DE60DF">
        <w:t xml:space="preserve"> clause 17. </w:t>
      </w:r>
      <w:r w:rsidR="007A35FD">
        <w:t>It makes provision about a decision-making approach, as to procedure and as to substance. As a</w:t>
      </w:r>
      <w:r w:rsidR="00EF1679">
        <w:t>n</w:t>
      </w:r>
      <w:r w:rsidR="007A35FD">
        <w:t xml:space="preserve"> </w:t>
      </w:r>
      <w:r w:rsidR="00EF1679">
        <w:t>SP Contract Arrangement</w:t>
      </w:r>
      <w:r w:rsidR="00504328">
        <w:t xml:space="preserve">, an implementation mechanism recognised in Statutory Guidance, it contains </w:t>
      </w:r>
      <w:r w:rsidR="00B55266">
        <w:t xml:space="preserve">– in </w:t>
      </w:r>
      <w:r w:rsidR="005832F5">
        <w:t>clause 17</w:t>
      </w:r>
      <w:r w:rsidR="00B55266">
        <w:t xml:space="preserve"> – conc</w:t>
      </w:r>
      <w:r w:rsidR="00504328">
        <w:t>rete procedural and substantive provision</w:t>
      </w:r>
      <w:r w:rsidR="001F30A2">
        <w:t>. That concrete provision relates to</w:t>
      </w:r>
      <w:r w:rsidR="00DC6C5C">
        <w:t xml:space="preserve"> the application of important s.5(1) and s.5(2)(d) statutory duties. It informs the conventional grounds for judicial review. </w:t>
      </w:r>
      <w:r w:rsidR="002F2EFE">
        <w:t xml:space="preserve">Yes, as Ms Clement KC and Ms Al-Yassin submit, </w:t>
      </w:r>
      <w:r w:rsidR="005C6623">
        <w:t>I should be cautious about going</w:t>
      </w:r>
      <w:r w:rsidR="00D47856">
        <w:t xml:space="preserve"> beyond </w:t>
      </w:r>
      <w:r w:rsidR="005C6623">
        <w:t>this as</w:t>
      </w:r>
      <w:r w:rsidR="00D47856">
        <w:t xml:space="preserve"> express provision for the </w:t>
      </w:r>
      <w:r w:rsidR="005C6623">
        <w:t>Council’s</w:t>
      </w:r>
      <w:r w:rsidR="00D47856">
        <w:t xml:space="preserve"> decision-making approach</w:t>
      </w:r>
      <w:r w:rsidR="005C6623">
        <w:t xml:space="preserve">. But I am no less cautious about </w:t>
      </w:r>
      <w:r w:rsidR="006C50B9">
        <w:t>falling short.</w:t>
      </w:r>
      <w:r w:rsidR="00AF395A">
        <w:t xml:space="preserve"> </w:t>
      </w:r>
      <w:r w:rsidR="005E467C">
        <w:t xml:space="preserve">The contextual common law duties of lawfulness, reasonableness and fairness </w:t>
      </w:r>
      <w:r w:rsidR="00AC13DF">
        <w:t>can properly be informed by, and consonant with, the contents of the</w:t>
      </w:r>
      <w:r w:rsidR="00EF1679">
        <w:t xml:space="preserve"> SP Contract Arrangement</w:t>
      </w:r>
      <w:r w:rsidR="00AC13DF">
        <w:t>.</w:t>
      </w:r>
    </w:p>
    <w:p w14:paraId="385A2205" w14:textId="7B8E972C" w:rsidR="00070E15" w:rsidRDefault="00760793" w:rsidP="00070E15">
      <w:pPr>
        <w:pStyle w:val="ParaLevel1"/>
        <w:tabs>
          <w:tab w:val="clear" w:pos="720"/>
          <w:tab w:val="num" w:pos="567"/>
        </w:tabs>
        <w:ind w:left="567" w:hanging="567"/>
      </w:pPr>
      <w:r>
        <w:t>There</w:t>
      </w:r>
      <w:r w:rsidR="00EC6C72">
        <w:t xml:space="preserve"> is one further key point. </w:t>
      </w:r>
      <w:r w:rsidR="00A87F91">
        <w:t>I have repeatedly referred to judicial review grounds as contextual.</w:t>
      </w:r>
      <w:r w:rsidR="008D6321">
        <w:t xml:space="preserve"> </w:t>
      </w:r>
      <w:r w:rsidR="00AA4343">
        <w:t xml:space="preserve">It is a golden rule of public law that </w:t>
      </w:r>
      <w:r w:rsidR="00705377">
        <w:t>conventional grounds, as Beatson J described them in</w:t>
      </w:r>
      <w:r w:rsidR="008D6321">
        <w:t xml:space="preserve"> </w:t>
      </w:r>
      <w:r w:rsidR="008D6321" w:rsidRPr="008D6321">
        <w:rPr>
          <w:u w:val="single"/>
        </w:rPr>
        <w:t>Bevan</w:t>
      </w:r>
      <w:r w:rsidR="00615672">
        <w:t xml:space="preserve">, </w:t>
      </w:r>
      <w:r w:rsidR="00A03F4A">
        <w:t>are</w:t>
      </w:r>
      <w:r w:rsidR="0001090D">
        <w:t xml:space="preserve"> context</w:t>
      </w:r>
      <w:r w:rsidR="00615672">
        <w:t>-specific</w:t>
      </w:r>
      <w:r w:rsidR="0001090D">
        <w:t xml:space="preserve"> </w:t>
      </w:r>
      <w:r w:rsidR="00A03F4A">
        <w:t xml:space="preserve">in nature and </w:t>
      </w:r>
      <w:r w:rsidR="0001090D">
        <w:t xml:space="preserve">application. </w:t>
      </w:r>
      <w:r w:rsidR="00615672">
        <w:t>The present context does not warrant a</w:t>
      </w:r>
      <w:r w:rsidR="00327AE4">
        <w:t xml:space="preserve"> ‘close scrutiny’ </w:t>
      </w:r>
      <w:r w:rsidR="00615672">
        <w:t xml:space="preserve">approach seen in a </w:t>
      </w:r>
      <w:r w:rsidR="00327AE4">
        <w:t xml:space="preserve">human rights context. That was also true in </w:t>
      </w:r>
      <w:r w:rsidR="00327AE4" w:rsidRPr="00327AE4">
        <w:rPr>
          <w:u w:val="single"/>
        </w:rPr>
        <w:t>British Gas Trading</w:t>
      </w:r>
      <w:r w:rsidR="004F5030">
        <w:t xml:space="preserve">, as the Court explained in the relevant passage </w:t>
      </w:r>
      <w:r w:rsidR="00C40A8A">
        <w:t>(§</w:t>
      </w:r>
      <w:r w:rsidR="001A6461">
        <w:t>33iii</w:t>
      </w:r>
      <w:r w:rsidR="00C40A8A">
        <w:t xml:space="preserve"> above)</w:t>
      </w:r>
      <w:r w:rsidR="002F07C3">
        <w:t>.</w:t>
      </w:r>
      <w:r w:rsidR="00233869">
        <w:t xml:space="preserve"> All of tho</w:t>
      </w:r>
      <w:r w:rsidR="0052299F">
        <w:t>se conventional</w:t>
      </w:r>
      <w:r w:rsidR="00233869">
        <w:t xml:space="preserve"> grounds for judicial review which fall within the overarching </w:t>
      </w:r>
      <w:r w:rsidR="00A460F1">
        <w:t xml:space="preserve">principle of public law reasonableness must be applied with full recognition of the </w:t>
      </w:r>
      <w:r w:rsidR="001309A1">
        <w:t xml:space="preserve">latitude of the primary decision-maker. This is a supervisory, not a substitutionary, </w:t>
      </w:r>
      <w:r w:rsidR="00C629F4">
        <w:t>review jurisdiction.</w:t>
      </w:r>
      <w:r w:rsidR="002D3840">
        <w:t xml:space="preserve"> And as</w:t>
      </w:r>
      <w:r w:rsidR="001751A8">
        <w:t xml:space="preserve"> Beatson J put it in </w:t>
      </w:r>
      <w:r w:rsidR="001751A8" w:rsidRPr="007D54F6">
        <w:rPr>
          <w:u w:val="single"/>
        </w:rPr>
        <w:t>Bevan</w:t>
      </w:r>
      <w:r w:rsidR="001751A8">
        <w:t xml:space="preserve"> at §</w:t>
      </w:r>
      <w:r w:rsidR="007D54F6">
        <w:t>58: “</w:t>
      </w:r>
      <w:r w:rsidR="001751A8" w:rsidRPr="001751A8">
        <w:t>a judicial review court will be particularly circumspect in engaging with the conclusions of the primary decision-maker in relation to complex economic and technical questions</w:t>
      </w:r>
      <w:r w:rsidR="007D54F6">
        <w:t>”</w:t>
      </w:r>
      <w:r w:rsidR="001751A8" w:rsidRPr="001751A8">
        <w:t>.</w:t>
      </w:r>
    </w:p>
    <w:p w14:paraId="1B34F4A5" w14:textId="2E025DC1" w:rsidR="00526911" w:rsidRPr="00A23D89" w:rsidRDefault="00A23D89" w:rsidP="00490978">
      <w:pPr>
        <w:pStyle w:val="ParaLevel1"/>
        <w:numPr>
          <w:ilvl w:val="0"/>
          <w:numId w:val="0"/>
        </w:numPr>
        <w:tabs>
          <w:tab w:val="left" w:pos="567"/>
        </w:tabs>
        <w:ind w:left="720" w:hanging="720"/>
        <w:rPr>
          <w:u w:val="single"/>
        </w:rPr>
      </w:pPr>
      <w:r w:rsidRPr="00A23D89">
        <w:rPr>
          <w:u w:val="single"/>
        </w:rPr>
        <w:t>Asking the Right Question</w:t>
      </w:r>
    </w:p>
    <w:p w14:paraId="34199144" w14:textId="0D5FFD65" w:rsidR="00C6430F" w:rsidRDefault="000264A0" w:rsidP="00C33C99">
      <w:pPr>
        <w:pStyle w:val="ParaLevel1"/>
        <w:tabs>
          <w:tab w:val="clear" w:pos="720"/>
          <w:tab w:val="left" w:pos="567"/>
        </w:tabs>
        <w:ind w:left="567" w:hanging="567"/>
      </w:pPr>
      <w:r>
        <w:t xml:space="preserve">This is the first ground on which the Claimant challenges the Clause 17 Decision. </w:t>
      </w:r>
      <w:r w:rsidR="00DE709A">
        <w:t xml:space="preserve">It invokes a familiar public law duty. </w:t>
      </w:r>
      <w:r w:rsidR="001747C1">
        <w:t xml:space="preserve">The </w:t>
      </w:r>
      <w:r w:rsidR="001747C1" w:rsidRPr="00C7379B">
        <w:rPr>
          <w:u w:val="single"/>
        </w:rPr>
        <w:t>Tameside</w:t>
      </w:r>
      <w:r w:rsidR="001747C1">
        <w:t xml:space="preserve"> duty begins with the well-established principle that a decision-maker must ask themselves the right question (</w:t>
      </w:r>
      <w:r w:rsidR="001747C1" w:rsidRPr="00295D69">
        <w:rPr>
          <w:u w:val="single"/>
        </w:rPr>
        <w:t>Care North East (No.1)</w:t>
      </w:r>
      <w:r w:rsidR="001747C1">
        <w:t xml:space="preserve"> at §18). </w:t>
      </w:r>
      <w:r w:rsidR="003B54CF">
        <w:t xml:space="preserve">In my judgment, </w:t>
      </w:r>
      <w:r w:rsidR="00C33C99">
        <w:t>there is a question which</w:t>
      </w:r>
      <w:r w:rsidR="003B54CF">
        <w:t xml:space="preserve"> the </w:t>
      </w:r>
      <w:r w:rsidR="009D45E1">
        <w:t>Council needed to ask and answer</w:t>
      </w:r>
      <w:r w:rsidR="00D80BB7">
        <w:t>, on the</w:t>
      </w:r>
      <w:bookmarkStart w:id="5" w:name="_Hlk166851771"/>
      <w:r w:rsidR="00A17061">
        <w:t xml:space="preserve"> balance of all available evidence</w:t>
      </w:r>
      <w:r w:rsidR="00C6430F">
        <w:t>, for Northumberland:</w:t>
      </w:r>
    </w:p>
    <w:p w14:paraId="78CC4DEA" w14:textId="1AEB6090" w:rsidR="00C6430F" w:rsidRPr="006461CE" w:rsidRDefault="00C6430F" w:rsidP="00C6430F">
      <w:pPr>
        <w:pStyle w:val="ParaLevel1"/>
        <w:numPr>
          <w:ilvl w:val="0"/>
          <w:numId w:val="0"/>
        </w:numPr>
        <w:tabs>
          <w:tab w:val="left" w:pos="567"/>
        </w:tabs>
        <w:ind w:left="1134"/>
        <w:rPr>
          <w:i/>
          <w:iCs/>
        </w:rPr>
      </w:pPr>
      <w:bookmarkStart w:id="6" w:name="_Hlk166931584"/>
      <w:r w:rsidRPr="006461CE">
        <w:rPr>
          <w:i/>
          <w:iCs/>
        </w:rPr>
        <w:t>W</w:t>
      </w:r>
      <w:r w:rsidR="00CC59D2" w:rsidRPr="006461CE">
        <w:rPr>
          <w:i/>
          <w:iCs/>
        </w:rPr>
        <w:t xml:space="preserve">ould </w:t>
      </w:r>
      <w:bookmarkStart w:id="7" w:name="_Hlk166854001"/>
      <w:r w:rsidR="00CC59D2" w:rsidRPr="006461CE">
        <w:rPr>
          <w:i/>
          <w:iCs/>
        </w:rPr>
        <w:t xml:space="preserve">the </w:t>
      </w:r>
      <w:r w:rsidR="005E37E1" w:rsidRPr="006461CE">
        <w:rPr>
          <w:i/>
          <w:iCs/>
        </w:rPr>
        <w:t>Basic Contractual Mechanism</w:t>
      </w:r>
      <w:r w:rsidR="00915E23" w:rsidRPr="006461CE">
        <w:rPr>
          <w:i/>
          <w:iCs/>
        </w:rPr>
        <w:t>,</w:t>
      </w:r>
      <w:r w:rsidR="005E37E1" w:rsidRPr="006461CE">
        <w:rPr>
          <w:i/>
          <w:iCs/>
        </w:rPr>
        <w:t xml:space="preserve"> without an additional uplift</w:t>
      </w:r>
      <w:r w:rsidR="00915E23" w:rsidRPr="006461CE">
        <w:rPr>
          <w:i/>
          <w:iCs/>
        </w:rPr>
        <w:t>,</w:t>
      </w:r>
      <w:r w:rsidR="00AC5E87" w:rsidRPr="006461CE">
        <w:rPr>
          <w:i/>
          <w:iCs/>
        </w:rPr>
        <w:t xml:space="preserve"> be sufficient</w:t>
      </w:r>
      <w:r w:rsidR="00915E23" w:rsidRPr="006461CE">
        <w:rPr>
          <w:i/>
          <w:iCs/>
        </w:rPr>
        <w:t xml:space="preserve"> to sustain </w:t>
      </w:r>
      <w:r w:rsidR="00AC5E87" w:rsidRPr="006461CE">
        <w:rPr>
          <w:i/>
          <w:iCs/>
        </w:rPr>
        <w:t xml:space="preserve">the efficient and effective operation of a </w:t>
      </w:r>
      <w:r w:rsidR="00BF221D" w:rsidRPr="006461CE">
        <w:rPr>
          <w:i/>
          <w:iCs/>
        </w:rPr>
        <w:t>care home market</w:t>
      </w:r>
      <w:bookmarkEnd w:id="5"/>
      <w:bookmarkEnd w:id="7"/>
      <w:r w:rsidR="00C10EC8" w:rsidRPr="006461CE">
        <w:rPr>
          <w:i/>
          <w:iCs/>
        </w:rPr>
        <w:t>?</w:t>
      </w:r>
      <w:bookmarkEnd w:id="6"/>
    </w:p>
    <w:p w14:paraId="614617C1" w14:textId="07F1DE61" w:rsidR="00D5257C" w:rsidRDefault="00AE7A46" w:rsidP="00DF2FC3">
      <w:pPr>
        <w:pStyle w:val="ParaLevel1"/>
        <w:numPr>
          <w:ilvl w:val="0"/>
          <w:numId w:val="0"/>
        </w:numPr>
        <w:tabs>
          <w:tab w:val="left" w:pos="567"/>
        </w:tabs>
        <w:ind w:left="567"/>
      </w:pPr>
      <w:r>
        <w:t xml:space="preserve">This is clearly seen in clause 17.4. </w:t>
      </w:r>
      <w:r w:rsidR="006F04DC">
        <w:t>In asking and answering that question, t</w:t>
      </w:r>
      <w:r w:rsidR="00206154">
        <w:t xml:space="preserve">he </w:t>
      </w:r>
      <w:r w:rsidR="00191829">
        <w:t xml:space="preserve">Council could </w:t>
      </w:r>
      <w:r w:rsidR="006F04DC">
        <w:t xml:space="preserve">– if it thought it was right </w:t>
      </w:r>
      <w:r w:rsidR="00BC096C">
        <w:t>–</w:t>
      </w:r>
      <w:r w:rsidR="006F04DC">
        <w:t xml:space="preserve"> </w:t>
      </w:r>
      <w:r w:rsidR="00BC096C">
        <w:t>confirm that</w:t>
      </w:r>
      <w:r w:rsidR="00191829">
        <w:t xml:space="preserve"> it had not become aware of any information which suggested </w:t>
      </w:r>
      <w:r w:rsidR="003758F8">
        <w:t>the contrary</w:t>
      </w:r>
      <w:r w:rsidR="00BC096C">
        <w:t>.</w:t>
      </w:r>
      <w:r w:rsidR="009A2E5C">
        <w:t xml:space="preserve"> </w:t>
      </w:r>
      <w:r w:rsidR="007A7A38">
        <w:t xml:space="preserve">It had to write </w:t>
      </w:r>
      <w:r w:rsidR="007717FD">
        <w:t>its Annual Fee Review Letter</w:t>
      </w:r>
      <w:r w:rsidR="007A7A38">
        <w:t xml:space="preserve">. </w:t>
      </w:r>
      <w:r w:rsidR="009A2E5C">
        <w:t xml:space="preserve">It had to respond to information said by a provider to </w:t>
      </w:r>
      <w:r w:rsidR="003758F8">
        <w:t>show the contrary.</w:t>
      </w:r>
      <w:r w:rsidR="007C3909">
        <w:t xml:space="preserve"> It had to form its view, on this question.</w:t>
      </w:r>
      <w:r>
        <w:t xml:space="preserve"> </w:t>
      </w:r>
      <w:r w:rsidR="00677793">
        <w:t>But this was the question. The Council accepts that</w:t>
      </w:r>
      <w:r>
        <w:t>.</w:t>
      </w:r>
    </w:p>
    <w:p w14:paraId="6D8BE4A2" w14:textId="4254718B" w:rsidR="00042688" w:rsidRDefault="002944CE" w:rsidP="008A7E19">
      <w:pPr>
        <w:pStyle w:val="ParaLevel1"/>
        <w:tabs>
          <w:tab w:val="clear" w:pos="720"/>
          <w:tab w:val="left" w:pos="567"/>
        </w:tabs>
        <w:ind w:left="567" w:hanging="567"/>
      </w:pPr>
      <w:r>
        <w:t xml:space="preserve">Here is the essence, as I saw it, of </w:t>
      </w:r>
      <w:r w:rsidR="00AA6BD4">
        <w:t>Mr Buttler KC</w:t>
      </w:r>
      <w:r>
        <w:t>’s argument.</w:t>
      </w:r>
      <w:r w:rsidR="007717FD">
        <w:t xml:space="preserve"> The Council wrote the required</w:t>
      </w:r>
      <w:r w:rsidR="0041380E">
        <w:t xml:space="preserve"> Annual Fee Review Letter. It responded to the information said by provider</w:t>
      </w:r>
      <w:r w:rsidR="008D0F9E">
        <w:t>s</w:t>
      </w:r>
      <w:r w:rsidR="0041380E">
        <w:t xml:space="preserve"> to show the contrary. </w:t>
      </w:r>
      <w:r w:rsidR="008A7E19">
        <w:t xml:space="preserve">It was a </w:t>
      </w:r>
      <w:r w:rsidR="00603A74">
        <w:t>detailed letter</w:t>
      </w:r>
      <w:r w:rsidR="008A7E19">
        <w:t>,</w:t>
      </w:r>
      <w:r w:rsidR="00603A74">
        <w:t xml:space="preserve"> 6 pages long.</w:t>
      </w:r>
      <w:r w:rsidR="0048036E">
        <w:t xml:space="preserve"> It </w:t>
      </w:r>
      <w:r w:rsidR="00AB7B02">
        <w:t xml:space="preserve">touched on the question in the first paragraph. </w:t>
      </w:r>
      <w:r w:rsidR="00FC7790">
        <w:t xml:space="preserve">It discussed the points which the Claimant had put forward. It </w:t>
      </w:r>
      <w:r w:rsidR="00086E48">
        <w:t>stated the Council’s intentions, to apply the Basic Contractual Mechanism</w:t>
      </w:r>
      <w:r w:rsidR="002F0753">
        <w:t>.</w:t>
      </w:r>
      <w:r w:rsidR="00042688">
        <w:t xml:space="preserve"> The letter said:</w:t>
      </w:r>
    </w:p>
    <w:p w14:paraId="63C9D6CD" w14:textId="246068D9" w:rsidR="00042688" w:rsidRPr="00B018FE" w:rsidRDefault="00F631C9" w:rsidP="00793D6D">
      <w:pPr>
        <w:pStyle w:val="ParaLevel1"/>
        <w:numPr>
          <w:ilvl w:val="0"/>
          <w:numId w:val="0"/>
        </w:numPr>
        <w:tabs>
          <w:tab w:val="left" w:pos="567"/>
        </w:tabs>
        <w:ind w:left="1134"/>
        <w:rPr>
          <w:b/>
          <w:bCs/>
          <w:i/>
          <w:iCs/>
        </w:rPr>
      </w:pPr>
      <w:r w:rsidRPr="00793D6D">
        <w:rPr>
          <w:b/>
          <w:bCs/>
          <w:i/>
          <w:iCs/>
          <w:sz w:val="20"/>
          <w:szCs w:val="16"/>
        </w:rPr>
        <w:t xml:space="preserve">Overall, it is clear that there has been a cost pressure </w:t>
      </w:r>
      <w:r w:rsidR="00793D6D" w:rsidRPr="00793D6D">
        <w:rPr>
          <w:b/>
          <w:bCs/>
          <w:i/>
          <w:iCs/>
          <w:sz w:val="20"/>
          <w:szCs w:val="16"/>
        </w:rPr>
        <w:t xml:space="preserve">[from energy price increases] </w:t>
      </w:r>
      <w:r w:rsidRPr="00793D6D">
        <w:rPr>
          <w:b/>
          <w:bCs/>
          <w:i/>
          <w:iCs/>
          <w:sz w:val="20"/>
          <w:szCs w:val="16"/>
        </w:rPr>
        <w:t>not fully reflected in the CPIH, but less clear what the scale of that pressure is likely to have been – and it is likely that this will have differed substantially between homes. Food price increases have also increased over the past year by more than the CPIH, and account for a higher share of care home expenditure than of the household expenditure used to set weightings in the CPIH.</w:t>
      </w:r>
    </w:p>
    <w:p w14:paraId="06FA5693" w14:textId="3A28E60B" w:rsidR="000D4E97" w:rsidRDefault="003F30D6" w:rsidP="009A62D3">
      <w:pPr>
        <w:pStyle w:val="ParaLevel1"/>
        <w:numPr>
          <w:ilvl w:val="0"/>
          <w:numId w:val="0"/>
        </w:numPr>
        <w:tabs>
          <w:tab w:val="left" w:pos="567"/>
        </w:tabs>
        <w:ind w:left="567"/>
      </w:pPr>
      <w:r>
        <w:t>It went on to say this</w:t>
      </w:r>
      <w:r w:rsidR="009A62D3">
        <w:t>:</w:t>
      </w:r>
    </w:p>
    <w:p w14:paraId="78F3BEAB" w14:textId="484FCE7A" w:rsidR="002F0753" w:rsidRPr="00A52A57" w:rsidRDefault="00531176" w:rsidP="00531176">
      <w:pPr>
        <w:pStyle w:val="ParaLevel1"/>
        <w:numPr>
          <w:ilvl w:val="0"/>
          <w:numId w:val="0"/>
        </w:numPr>
        <w:tabs>
          <w:tab w:val="left" w:pos="567"/>
        </w:tabs>
        <w:ind w:left="1134"/>
        <w:rPr>
          <w:b/>
          <w:bCs/>
          <w:i/>
          <w:iCs/>
        </w:rPr>
      </w:pPr>
      <w:r w:rsidRPr="00A52A57">
        <w:rPr>
          <w:b/>
          <w:bCs/>
          <w:i/>
          <w:iCs/>
          <w:sz w:val="20"/>
          <w:szCs w:val="16"/>
        </w:rPr>
        <w:t>We do not intend to change the way in which base fee levels are calculated for 2023/24, but we think there currently appears likely to be a case for using some of the grant funding which the government has announced for next financial year to give care homes some continuing short-term additional support, to reflect the specific impact on the sector of energy, food cost and insurance price increases and continuing additional costs associated with Covid. We do not yet have details of the conditions which will be attached to Government grants, and will need to consider these before making decisions about the nature and timing of any additional support.</w:t>
      </w:r>
    </w:p>
    <w:p w14:paraId="42849F26" w14:textId="482FA11E" w:rsidR="00506347" w:rsidRDefault="00C108B7" w:rsidP="00506347">
      <w:pPr>
        <w:pStyle w:val="ParaLevel1"/>
        <w:numPr>
          <w:ilvl w:val="0"/>
          <w:numId w:val="0"/>
        </w:numPr>
        <w:tabs>
          <w:tab w:val="left" w:pos="567"/>
        </w:tabs>
        <w:ind w:left="567"/>
      </w:pPr>
      <w:r>
        <w:t>What is conspicuously absent from all of this is a statement which asks and answers the</w:t>
      </w:r>
      <w:r w:rsidR="00592492">
        <w:t xml:space="preserve"> question</w:t>
      </w:r>
      <w:r w:rsidR="00B95C4F">
        <w:t>. Nowhere does the Council say whether its view is that,</w:t>
      </w:r>
      <w:r w:rsidR="00592492">
        <w:t xml:space="preserve"> </w:t>
      </w:r>
      <w:r w:rsidR="00592492" w:rsidRPr="00592492">
        <w:t>on the balance of all available evidence, the Basic Contractual Mechanism</w:t>
      </w:r>
      <w:r w:rsidR="00B95C4F">
        <w:t xml:space="preserve"> would</w:t>
      </w:r>
      <w:r w:rsidR="00592492" w:rsidRPr="00592492">
        <w:t xml:space="preserve"> be sufficient to sustain the efficient and effective operation of a market in care home accommodation</w:t>
      </w:r>
      <w:r w:rsidR="004E491E">
        <w:t>. The problem is illustrated by</w:t>
      </w:r>
      <w:r w:rsidR="00204A09">
        <w:t xml:space="preserve"> </w:t>
      </w:r>
      <w:r w:rsidR="00457B4E">
        <w:t>Ms Clement KC and Ms Al-Yassin’s</w:t>
      </w:r>
      <w:r w:rsidR="00204A09">
        <w:t xml:space="preserve"> oscillating submissions in these proceedings</w:t>
      </w:r>
      <w:r w:rsidR="00457B4E">
        <w:t>, as to how the Council was supposedly answering the question.</w:t>
      </w:r>
      <w:r w:rsidR="00454036">
        <w:t xml:space="preserve"> </w:t>
      </w:r>
      <w:r w:rsidR="00FB2CBD">
        <w:t>Sometimes, it is said that</w:t>
      </w:r>
      <w:r w:rsidR="00454036">
        <w:t xml:space="preserve"> the Council’s answer was “</w:t>
      </w:r>
      <w:r w:rsidR="00AC6A6E">
        <w:t xml:space="preserve">yes, because </w:t>
      </w:r>
      <w:r w:rsidR="00FF71A7">
        <w:t>we expect to use</w:t>
      </w:r>
      <w:r w:rsidR="00AC6A6E">
        <w:t xml:space="preserve"> </w:t>
      </w:r>
      <w:r w:rsidR="005F6371">
        <w:t>grant funding”.</w:t>
      </w:r>
      <w:r w:rsidR="00FF71A7">
        <w:t xml:space="preserve"> </w:t>
      </w:r>
      <w:r w:rsidR="00FB2CBD">
        <w:t>Other times, it is said</w:t>
      </w:r>
      <w:r w:rsidR="00FF71A7">
        <w:t xml:space="preserve"> that the Council’s answer was “yes, and in any event we expect </w:t>
      </w:r>
      <w:r w:rsidR="00672B2F">
        <w:t>to use</w:t>
      </w:r>
      <w:r w:rsidR="00FF71A7">
        <w:t xml:space="preserve"> grant funding”.</w:t>
      </w:r>
      <w:r w:rsidR="00B34915">
        <w:t xml:space="preserve"> And it is even said that the answer is in an external document</w:t>
      </w:r>
      <w:r w:rsidR="005D35AA">
        <w:t>, said to be “incorporated by reference” into the decision letter</w:t>
      </w:r>
      <w:r w:rsidR="00B87CF2">
        <w:t xml:space="preserve">. That is the Council’s draft Market Sustainability </w:t>
      </w:r>
      <w:r w:rsidR="00993403">
        <w:t>Plan (14.10.22) to which reference is made at the end of the letter. That is not part of the letter. It is not incorporated by reference. Nor does it ask and answer the clause 17.4 question.</w:t>
      </w:r>
      <w:r w:rsidR="005A0659">
        <w:t xml:space="preserve"> That is the argument.</w:t>
      </w:r>
    </w:p>
    <w:p w14:paraId="5E98B31D" w14:textId="0ACE2F40" w:rsidR="00B55D69" w:rsidRDefault="007815FB" w:rsidP="00B55D69">
      <w:pPr>
        <w:pStyle w:val="ParaLevel1"/>
        <w:tabs>
          <w:tab w:val="clear" w:pos="720"/>
          <w:tab w:val="left" w:pos="567"/>
        </w:tabs>
        <w:ind w:left="567" w:hanging="567"/>
      </w:pPr>
      <w:r>
        <w:t xml:space="preserve">I </w:t>
      </w:r>
      <w:r w:rsidR="005A0659">
        <w:t>am unable to accept th</w:t>
      </w:r>
      <w:r w:rsidR="00C4500E">
        <w:t>ese submissions</w:t>
      </w:r>
      <w:r w:rsidR="00CD315B">
        <w:t>. It is undoubtedly the case</w:t>
      </w:r>
      <w:r w:rsidR="00A53737">
        <w:t xml:space="preserve"> – as Ms Clement KC and Ms Al-Yassin rightly accepted – that it would have been far better if the decision letter </w:t>
      </w:r>
      <w:r w:rsidR="002D6AF5">
        <w:t>had straightforwardly, and expressly, answered the question.</w:t>
      </w:r>
      <w:r w:rsidR="00A930AB">
        <w:t xml:space="preserve"> This is not a “locked box” case</w:t>
      </w:r>
      <w:r w:rsidR="003E04D9">
        <w:t>. By that, I mean</w:t>
      </w:r>
      <w:r w:rsidR="00A930AB">
        <w:t xml:space="preserve"> </w:t>
      </w:r>
      <w:r w:rsidR="00177407">
        <w:t>a case where a</w:t>
      </w:r>
      <w:r w:rsidR="00A930AB">
        <w:t xml:space="preserve"> contemporaneous document </w:t>
      </w:r>
      <w:r w:rsidR="00177407">
        <w:t>is produced and disclosed which</w:t>
      </w:r>
      <w:r w:rsidR="00DD3155">
        <w:t xml:space="preserve"> – although </w:t>
      </w:r>
      <w:r w:rsidR="00177407">
        <w:t>not communicated at the time</w:t>
      </w:r>
      <w:r w:rsidR="003E04D9">
        <w:t xml:space="preserve"> but filed away somewhere</w:t>
      </w:r>
      <w:r w:rsidR="00DD3155">
        <w:t xml:space="preserve"> – does show that the decision maker was adopting the legally correct approach. </w:t>
      </w:r>
      <w:r w:rsidR="00B55D69">
        <w:t>I agree with Mr Buttler KC that the draft Market Sustainability Plan (14.10.22)</w:t>
      </w:r>
      <w:r w:rsidR="00E4117B">
        <w:t xml:space="preserve"> is not incorporated by reference; nor does that document constitute the asking and answering of the question. </w:t>
      </w:r>
      <w:r w:rsidR="00712237">
        <w:t>And, a</w:t>
      </w:r>
      <w:r w:rsidR="00E4117B">
        <w:t xml:space="preserve">fter all, the view had to be formed in light of </w:t>
      </w:r>
      <w:r w:rsidR="00567C98">
        <w:t>all the evidence, including the points put forward by the Claimant in a letter of 22.12.22.</w:t>
      </w:r>
      <w:r w:rsidR="007E478B">
        <w:t xml:space="preserve"> Mr Buttler KC was right to identify different answers – oscillation – at different times</w:t>
      </w:r>
      <w:r w:rsidR="00A8644B">
        <w:t xml:space="preserve"> as to what answer the letter was supposedly giving. Notwithstanding these shortcomings and difficulties, I </w:t>
      </w:r>
      <w:r w:rsidR="00943D27">
        <w:t xml:space="preserve">have concluded that the </w:t>
      </w:r>
      <w:r w:rsidR="007F2052">
        <w:t>question was being asked and answered. That is for the following reasons.</w:t>
      </w:r>
    </w:p>
    <w:p w14:paraId="74C02A77" w14:textId="6295BB9F" w:rsidR="00CF1C31" w:rsidRDefault="007F2052" w:rsidP="00154B9B">
      <w:pPr>
        <w:pStyle w:val="ParaLevel2"/>
        <w:tabs>
          <w:tab w:val="clear" w:pos="1418"/>
          <w:tab w:val="num" w:pos="1134"/>
        </w:tabs>
        <w:ind w:left="1134" w:hanging="567"/>
      </w:pPr>
      <w:r w:rsidRPr="005B1B34">
        <w:rPr>
          <w:u w:val="single"/>
        </w:rPr>
        <w:t>First</w:t>
      </w:r>
      <w:r>
        <w:t xml:space="preserve">, the writer of the </w:t>
      </w:r>
      <w:r w:rsidR="00E12212">
        <w:t xml:space="preserve">January 2023 decision letter </w:t>
      </w:r>
      <w:r w:rsidR="00E67571">
        <w:t>was aware of – and thinking about – the express design of clause 17.4</w:t>
      </w:r>
      <w:r w:rsidR="00DC2AF4">
        <w:t xml:space="preserve">, and </w:t>
      </w:r>
      <w:r w:rsidR="009F2035">
        <w:t>identified the important test of sufficiency: sufficient to sustain the efficient and effective operation of the care home market. This was the opening paragraph:</w:t>
      </w:r>
    </w:p>
    <w:p w14:paraId="71C7F3B1" w14:textId="1483F6AD" w:rsidR="002C4CB7" w:rsidRPr="00656E03" w:rsidRDefault="002C4CB7" w:rsidP="00154B9B">
      <w:pPr>
        <w:pStyle w:val="ParaLevel1"/>
        <w:numPr>
          <w:ilvl w:val="0"/>
          <w:numId w:val="0"/>
        </w:numPr>
        <w:tabs>
          <w:tab w:val="left" w:pos="567"/>
        </w:tabs>
        <w:ind w:left="1701"/>
        <w:rPr>
          <w:b/>
          <w:bCs/>
          <w:i/>
          <w:iCs/>
        </w:rPr>
      </w:pPr>
      <w:r w:rsidRPr="00656E03">
        <w:rPr>
          <w:b/>
          <w:bCs/>
          <w:i/>
          <w:iCs/>
          <w:sz w:val="20"/>
          <w:szCs w:val="16"/>
        </w:rPr>
        <w:t>As you are probably aware, our current care home contract entitles providers to write to the council by the end of December in each year to let us know of any information which they believe suggests that the formula in the contract for calculating fee uplifts from the following April will not be sufficient to sustain the efficient and effective operation of the care home market, and commits the Council to writing to providers by the end of January to confirm its view about whether it has become aware of any information, including both submissions from providers and information from other sources, which suggests that the formula uplift will not be sufficient.</w:t>
      </w:r>
    </w:p>
    <w:p w14:paraId="6DFAD829" w14:textId="79B6C357" w:rsidR="00DC2AF4" w:rsidRDefault="00154B9B" w:rsidP="00154B9B">
      <w:pPr>
        <w:pStyle w:val="ParaLevel1"/>
        <w:numPr>
          <w:ilvl w:val="0"/>
          <w:numId w:val="0"/>
        </w:numPr>
        <w:tabs>
          <w:tab w:val="left" w:pos="567"/>
        </w:tabs>
        <w:ind w:left="1134" w:hanging="1134"/>
      </w:pPr>
      <w:r>
        <w:tab/>
      </w:r>
      <w:r>
        <w:tab/>
      </w:r>
      <w:r w:rsidR="00323506">
        <w:t>This passage includes “</w:t>
      </w:r>
      <w:r w:rsidR="00DC2AF4">
        <w:t>sufficient to sustain the efficient and effective operation of the care home market</w:t>
      </w:r>
      <w:r w:rsidR="00323506">
        <w:t>” and</w:t>
      </w:r>
      <w:r w:rsidR="00656E03">
        <w:t>, in that context,</w:t>
      </w:r>
      <w:r w:rsidR="00323506">
        <w:t xml:space="preserve"> “sufficient”</w:t>
      </w:r>
      <w:r w:rsidR="00656E03">
        <w:t>.</w:t>
      </w:r>
    </w:p>
    <w:p w14:paraId="4B1DCFD7" w14:textId="1BD35C00" w:rsidR="003C1E5F" w:rsidRDefault="00FB0183" w:rsidP="00154B9B">
      <w:pPr>
        <w:pStyle w:val="ParaLevel2"/>
        <w:tabs>
          <w:tab w:val="clear" w:pos="1418"/>
          <w:tab w:val="num" w:pos="1134"/>
        </w:tabs>
        <w:ind w:left="1134" w:hanging="567"/>
      </w:pPr>
      <w:r w:rsidRPr="005B1B34">
        <w:rPr>
          <w:u w:val="single"/>
        </w:rPr>
        <w:t>Secondly</w:t>
      </w:r>
      <w:r>
        <w:t>, the decision letter includes a response to the contention</w:t>
      </w:r>
      <w:r w:rsidR="001D0338">
        <w:t xml:space="preserve"> of the Claimant, that the </w:t>
      </w:r>
      <w:r w:rsidR="00980C14">
        <w:t xml:space="preserve">Council’s </w:t>
      </w:r>
      <w:r w:rsidR="001D0338">
        <w:t>fair cost of care survey</w:t>
      </w:r>
      <w:r w:rsidR="00980C14">
        <w:t xml:space="preserve"> would have uncovered evidence “demonstrating the insufficiency of the Banded Rates”</w:t>
      </w:r>
      <w:r w:rsidR="009F2897">
        <w:t>. Within the discussion of that topic</w:t>
      </w:r>
      <w:r w:rsidR="002E43CB">
        <w:t xml:space="preserve">, the decision letter </w:t>
      </w:r>
      <w:r w:rsidR="00C05A95">
        <w:t>referred to figures from the survey</w:t>
      </w:r>
      <w:r w:rsidR="008E3006">
        <w:t xml:space="preserve">, as not suggesting a clear need to increase the base fees, and said why </w:t>
      </w:r>
      <w:r w:rsidR="00E744E0">
        <w:t xml:space="preserve">the Council’s </w:t>
      </w:r>
      <w:r w:rsidR="008E3006">
        <w:t xml:space="preserve">monitoring </w:t>
      </w:r>
      <w:r w:rsidR="00E744E0">
        <w:t>was the best way to make an assessment. The letter says:</w:t>
      </w:r>
    </w:p>
    <w:p w14:paraId="632D6011" w14:textId="3A3CCCD3" w:rsidR="003C1E5F" w:rsidRPr="00C2098A" w:rsidRDefault="003C1E5F" w:rsidP="00154B9B">
      <w:pPr>
        <w:pStyle w:val="ParaLevel1"/>
        <w:numPr>
          <w:ilvl w:val="0"/>
          <w:numId w:val="0"/>
        </w:numPr>
        <w:tabs>
          <w:tab w:val="left" w:pos="567"/>
        </w:tabs>
        <w:ind w:left="1701"/>
        <w:rPr>
          <w:b/>
          <w:bCs/>
          <w:i/>
          <w:iCs/>
        </w:rPr>
      </w:pPr>
      <w:r w:rsidRPr="00C2098A">
        <w:rPr>
          <w:b/>
          <w:bCs/>
          <w:i/>
          <w:iCs/>
          <w:sz w:val="20"/>
          <w:szCs w:val="16"/>
        </w:rPr>
        <w:t>In our view the best way to assess whether fees are currently supporting a sufficient level of surplus to sustain the market is to monitor the overall health of the sector, rather than to base fees on an arithmetical calculation from any predetermined set of assumptions …</w:t>
      </w:r>
    </w:p>
    <w:p w14:paraId="27251D53" w14:textId="42DF2165" w:rsidR="00C2098A" w:rsidRDefault="00C2098A" w:rsidP="00154B9B">
      <w:pPr>
        <w:pStyle w:val="ParaLevel1"/>
        <w:numPr>
          <w:ilvl w:val="0"/>
          <w:numId w:val="0"/>
        </w:numPr>
        <w:tabs>
          <w:tab w:val="left" w:pos="567"/>
        </w:tabs>
        <w:ind w:left="1134"/>
      </w:pPr>
      <w:r>
        <w:t xml:space="preserve">The importance of this passage is </w:t>
      </w:r>
      <w:r w:rsidR="00A929A4">
        <w:t>the phrase “sufficient … to sustain the market”</w:t>
      </w:r>
      <w:r w:rsidR="001F1110">
        <w:t>, which</w:t>
      </w:r>
      <w:r>
        <w:t xml:space="preserve"> reflects the writer having retained the focus from the opening paragraph of the letter</w:t>
      </w:r>
      <w:r w:rsidR="001F1110">
        <w:t>.</w:t>
      </w:r>
    </w:p>
    <w:p w14:paraId="0178DB10" w14:textId="77777777" w:rsidR="00154B9B" w:rsidRDefault="000B60F3" w:rsidP="00154B9B">
      <w:pPr>
        <w:pStyle w:val="ParaLevel2"/>
        <w:tabs>
          <w:tab w:val="clear" w:pos="1418"/>
          <w:tab w:val="num" w:pos="1134"/>
        </w:tabs>
        <w:ind w:left="1134" w:hanging="567"/>
      </w:pPr>
      <w:r w:rsidRPr="005B1B34">
        <w:rPr>
          <w:u w:val="single"/>
        </w:rPr>
        <w:t>Thirdly</w:t>
      </w:r>
      <w:r>
        <w:t xml:space="preserve">, </w:t>
      </w:r>
      <w:r w:rsidR="00CF5917">
        <w:t>although it is right that the letter goes from the response to the evidence put forward</w:t>
      </w:r>
      <w:r w:rsidR="001A1A09">
        <w:t>,</w:t>
      </w:r>
      <w:r w:rsidR="00CF5917">
        <w:t xml:space="preserve"> to a statement of the </w:t>
      </w:r>
      <w:r w:rsidR="001A1A09">
        <w:t xml:space="preserve">Council’s </w:t>
      </w:r>
      <w:r w:rsidR="00390A67">
        <w:t xml:space="preserve">conclusions, </w:t>
      </w:r>
      <w:r w:rsidR="003831A5">
        <w:t xml:space="preserve">that is a reflection of the design of clause 17.4 itself. The express </w:t>
      </w:r>
      <w:r w:rsidR="002E7B5C">
        <w:t>dut</w:t>
      </w:r>
      <w:r w:rsidR="00C4696D">
        <w:t>ies</w:t>
      </w:r>
      <w:r w:rsidR="002E7B5C">
        <w:t xml:space="preserve"> </w:t>
      </w:r>
      <w:r w:rsidR="00C4696D">
        <w:t>are</w:t>
      </w:r>
      <w:r w:rsidR="002E7B5C">
        <w:t xml:space="preserve"> to refer to the information and set out views as to </w:t>
      </w:r>
      <w:r w:rsidR="009516A0">
        <w:t xml:space="preserve">its relevance, and to include a proposed variation “if” the </w:t>
      </w:r>
      <w:r w:rsidR="00E34D85">
        <w:t>“</w:t>
      </w:r>
      <w:r w:rsidR="009516A0">
        <w:t>view</w:t>
      </w:r>
      <w:r w:rsidR="00E34D85">
        <w:t>”</w:t>
      </w:r>
      <w:r w:rsidR="009516A0">
        <w:t xml:space="preserve"> is that </w:t>
      </w:r>
      <w:r w:rsidR="00DD44A2" w:rsidRPr="00DD44A2">
        <w:t xml:space="preserve">the Basic Contractual Mechanism, without an additional uplift, </w:t>
      </w:r>
      <w:r w:rsidR="00DD44A2">
        <w:t xml:space="preserve">would “not” </w:t>
      </w:r>
      <w:r w:rsidR="00DD44A2" w:rsidRPr="00DD44A2">
        <w:t>be sufficient to sustain the efficient and effective operation of a market in care home accommodation</w:t>
      </w:r>
      <w:r w:rsidR="00DD44A2">
        <w:t>.</w:t>
      </w:r>
      <w:r w:rsidR="004172AD">
        <w:t xml:space="preserve"> On a fair reading of the letter as a whole, in context</w:t>
      </w:r>
      <w:r w:rsidR="00E34D85">
        <w:t xml:space="preserve">, the question was </w:t>
      </w:r>
      <w:r w:rsidR="000E6EC5">
        <w:t xml:space="preserve">being </w:t>
      </w:r>
      <w:r w:rsidR="00E34D85">
        <w:t>asked and answered.</w:t>
      </w:r>
      <w:r w:rsidR="00FE3793">
        <w:t xml:space="preserve"> The “view” was not the one which required the proposed variation</w:t>
      </w:r>
      <w:r w:rsidR="0059413E">
        <w:t>. It was the view which did not. The Council decided not to include a proposed variation. That was communicated in the letter.</w:t>
      </w:r>
    </w:p>
    <w:p w14:paraId="5D9E017B" w14:textId="5834ED1A" w:rsidR="00927BD7" w:rsidRDefault="00927BD7" w:rsidP="00154B9B">
      <w:pPr>
        <w:pStyle w:val="ParaLevel2"/>
        <w:tabs>
          <w:tab w:val="clear" w:pos="1418"/>
          <w:tab w:val="num" w:pos="1134"/>
        </w:tabs>
        <w:ind w:left="1134" w:hanging="567"/>
      </w:pPr>
      <w:r w:rsidRPr="00154B9B">
        <w:rPr>
          <w:u w:val="single"/>
        </w:rPr>
        <w:t>Fourthly</w:t>
      </w:r>
      <w:r>
        <w:t xml:space="preserve">, </w:t>
      </w:r>
      <w:r w:rsidR="009B3CCC">
        <w:t xml:space="preserve">it would in </w:t>
      </w:r>
      <w:r w:rsidR="00D14BBC">
        <w:t xml:space="preserve">all </w:t>
      </w:r>
      <w:r w:rsidR="009B3CCC">
        <w:t xml:space="preserve">these circumstances be a strong </w:t>
      </w:r>
      <w:r w:rsidR="009967AD">
        <w:t>step</w:t>
      </w:r>
      <w:r w:rsidR="005A7B7F">
        <w:t xml:space="preserve"> for a Court to conclude – as an inference from the reasoning in the letter – that the writer lost sight of the </w:t>
      </w:r>
      <w:r w:rsidR="003C2533">
        <w:t>question, failed to ask and answer it, and answered some different question</w:t>
      </w:r>
      <w:r w:rsidR="009967AD">
        <w:t>. I have not been given a proper and justified basis for taking that step. The points that are made about the letter really collapse into the question of the legal adequacy of the reasoning</w:t>
      </w:r>
      <w:r w:rsidR="00926CA9">
        <w:t>; not the failure to ask and answer the question.</w:t>
      </w:r>
      <w:r w:rsidR="00BE2DB1">
        <w:t xml:space="preserve"> There is, moreover, the following straightforward </w:t>
      </w:r>
      <w:r w:rsidR="00C84376">
        <w:t>‘</w:t>
      </w:r>
      <w:r w:rsidR="00BE2DB1">
        <w:t>reality check</w:t>
      </w:r>
      <w:r w:rsidR="00C84376">
        <w:t>’</w:t>
      </w:r>
      <w:r w:rsidR="00BE2DB1">
        <w:t xml:space="preserve">. The </w:t>
      </w:r>
      <w:r w:rsidR="00F477B3">
        <w:t xml:space="preserve">decision </w:t>
      </w:r>
      <w:r w:rsidR="00BE2DB1">
        <w:t xml:space="preserve">letter was written on </w:t>
      </w:r>
      <w:r w:rsidR="003F3A8B">
        <w:t xml:space="preserve">31.1.23. It was received and read. </w:t>
      </w:r>
      <w:r w:rsidR="00F477B3">
        <w:t xml:space="preserve">It was </w:t>
      </w:r>
      <w:r w:rsidR="00A6479C">
        <w:t xml:space="preserve">a letter </w:t>
      </w:r>
      <w:r w:rsidR="00F477B3">
        <w:t>responding to the Claimant’s letter (</w:t>
      </w:r>
      <w:r w:rsidR="00666BAD">
        <w:t>22.12.22) which had spo</w:t>
      </w:r>
      <w:r w:rsidR="00A66CF7">
        <w:t>k</w:t>
      </w:r>
      <w:r w:rsidR="00666BAD">
        <w:t>e</w:t>
      </w:r>
      <w:r w:rsidR="00A6479C">
        <w:t>n</w:t>
      </w:r>
      <w:r w:rsidR="00666BAD">
        <w:t xml:space="preserve"> about sufficiency for the purposes of clause 17, and had referred to s</w:t>
      </w:r>
      <w:r w:rsidR="00A66CF7">
        <w:t xml:space="preserve">ustainability of an efficient and effective care home market. </w:t>
      </w:r>
      <w:r w:rsidR="00A6479C">
        <w:t>Having received and read the decision letter, t</w:t>
      </w:r>
      <w:r w:rsidR="003F3A8B">
        <w:t>he Claimant did not write back</w:t>
      </w:r>
      <w:r w:rsidR="003A6329">
        <w:t xml:space="preserve"> </w:t>
      </w:r>
      <w:r w:rsidR="00D21221">
        <w:t>making the following</w:t>
      </w:r>
      <w:r w:rsidR="003A6329">
        <w:t xml:space="preserve"> elementary point: “but you haven’t answered the clause 17.4 question”.</w:t>
      </w:r>
      <w:r w:rsidR="00B970B1">
        <w:t xml:space="preserve"> Nor was this </w:t>
      </w:r>
      <w:r w:rsidR="00D21221">
        <w:t>elementary</w:t>
      </w:r>
      <w:r w:rsidR="002449FD">
        <w:t xml:space="preserve"> point made in the letter before claim (6.4.23), where reasonableness and insufficiency of enquiry were raised. </w:t>
      </w:r>
      <w:r w:rsidR="00C83AF7">
        <w:t xml:space="preserve">This indicates that those who were closest to the ground understood that the question had been asked and answered, </w:t>
      </w:r>
      <w:r w:rsidR="00D21221">
        <w:t>negatively. There was strong disagreement</w:t>
      </w:r>
      <w:r w:rsidR="00C523B0">
        <w:t xml:space="preserve"> </w:t>
      </w:r>
      <w:r w:rsidR="00A17B44">
        <w:t>as to</w:t>
      </w:r>
      <w:r w:rsidR="00C523B0">
        <w:t xml:space="preserve"> how it had been answered. But </w:t>
      </w:r>
      <w:r w:rsidR="00A17B44">
        <w:t>it had been answered.</w:t>
      </w:r>
      <w:r w:rsidR="00AB2843">
        <w:t xml:space="preserve"> Nobody piped up to say it had not</w:t>
      </w:r>
      <w:r w:rsidR="00C523B0">
        <w:t>.</w:t>
      </w:r>
    </w:p>
    <w:p w14:paraId="2859D586" w14:textId="68DF37C6" w:rsidR="004724FF" w:rsidRDefault="004724FF" w:rsidP="00DD44A2">
      <w:pPr>
        <w:pStyle w:val="ParaLevel1"/>
        <w:tabs>
          <w:tab w:val="clear" w:pos="720"/>
          <w:tab w:val="left" w:pos="567"/>
        </w:tabs>
        <w:ind w:left="567" w:hanging="567"/>
      </w:pPr>
      <w:r>
        <w:t>Before leaving this ground for judicial review</w:t>
      </w:r>
      <w:r w:rsidR="008155F4">
        <w:t xml:space="preserve">, there are two </w:t>
      </w:r>
      <w:r w:rsidR="002F3780">
        <w:t>points to add</w:t>
      </w:r>
      <w:r w:rsidR="008155F4">
        <w:t>. First, I think M</w:t>
      </w:r>
      <w:r w:rsidR="00617CBD">
        <w:t xml:space="preserve">s Clement KC and Ms Al-Yassin are right to have accepted that this first ground for judicial review would fall within the scope of judicial review. </w:t>
      </w:r>
      <w:r w:rsidR="003E5F2A">
        <w:t xml:space="preserve">Secondly, </w:t>
      </w:r>
      <w:r w:rsidR="00B72381">
        <w:t>I think th</w:t>
      </w:r>
      <w:r w:rsidR="00700B46">
        <w:t>is first issue was within the pleaded grounds for judicial review. Unlike the letter before claim, the pleaded grounds clearly take the point that</w:t>
      </w:r>
      <w:r w:rsidR="00FD6924">
        <w:t xml:space="preserve"> the Council “did not answer the question that clause 17 required to be answered”</w:t>
      </w:r>
      <w:r w:rsidR="0067447A">
        <w:t xml:space="preserve">; and “failed to answer the clause 17 question, viz. was a fee that constituted </w:t>
      </w:r>
      <w:r w:rsidR="003E70FC">
        <w:t xml:space="preserve">a real term cut </w:t>
      </w:r>
      <w:r w:rsidR="002F3780">
        <w:t>‘</w:t>
      </w:r>
      <w:r w:rsidR="003E70FC">
        <w:t>sufficient to sustain the efficient and effective operation</w:t>
      </w:r>
      <w:r w:rsidR="002F3780">
        <w:t>’</w:t>
      </w:r>
      <w:r w:rsidR="003E70FC">
        <w:t xml:space="preserve"> of the care home market</w:t>
      </w:r>
      <w:r w:rsidR="002F3780">
        <w:t>”.</w:t>
      </w:r>
      <w:r w:rsidR="00A24F85">
        <w:t xml:space="preserve"> There has been a full and fair opportunity to deal with the point. </w:t>
      </w:r>
      <w:r w:rsidR="006D54E1">
        <w:t>If the point were otherwise a good one</w:t>
      </w:r>
      <w:r w:rsidR="007732D3">
        <w:t xml:space="preserve"> in law</w:t>
      </w:r>
      <w:r w:rsidR="006D54E1">
        <w:t xml:space="preserve">, I would not </w:t>
      </w:r>
      <w:r w:rsidR="007732D3">
        <w:t>have been</w:t>
      </w:r>
      <w:r w:rsidR="006D54E1">
        <w:t xml:space="preserve"> persuaded that</w:t>
      </w:r>
      <w:r w:rsidR="007732D3">
        <w:t xml:space="preserve"> it should be shut out</w:t>
      </w:r>
      <w:r w:rsidR="00BD041D">
        <w:t xml:space="preserve"> based on the pleading objection.</w:t>
      </w:r>
    </w:p>
    <w:p w14:paraId="0A6478B1" w14:textId="590E5534" w:rsidR="00A23D89" w:rsidRPr="003C4BD3" w:rsidRDefault="003C4BD3" w:rsidP="00A23D89">
      <w:pPr>
        <w:pStyle w:val="ParaLevel1"/>
        <w:numPr>
          <w:ilvl w:val="0"/>
          <w:numId w:val="0"/>
        </w:numPr>
        <w:tabs>
          <w:tab w:val="left" w:pos="567"/>
        </w:tabs>
        <w:rPr>
          <w:u w:val="single"/>
        </w:rPr>
      </w:pPr>
      <w:r w:rsidRPr="003C4BD3">
        <w:rPr>
          <w:u w:val="single"/>
        </w:rPr>
        <w:t xml:space="preserve">Legally </w:t>
      </w:r>
      <w:r w:rsidR="002D3840">
        <w:rPr>
          <w:u w:val="single"/>
        </w:rPr>
        <w:t>S</w:t>
      </w:r>
      <w:r w:rsidRPr="003C4BD3">
        <w:rPr>
          <w:u w:val="single"/>
        </w:rPr>
        <w:t>ufficient Inquiry</w:t>
      </w:r>
    </w:p>
    <w:p w14:paraId="54BAB775" w14:textId="5F1C572B" w:rsidR="00B65864" w:rsidRDefault="00FF3E20" w:rsidP="001D79B1">
      <w:pPr>
        <w:pStyle w:val="ParaLevel1"/>
        <w:tabs>
          <w:tab w:val="clear" w:pos="720"/>
          <w:tab w:val="left" w:pos="567"/>
        </w:tabs>
        <w:ind w:left="567" w:hanging="567"/>
      </w:pPr>
      <w:r>
        <w:t xml:space="preserve">The </w:t>
      </w:r>
      <w:r w:rsidRPr="00FF3E20">
        <w:rPr>
          <w:u w:val="single"/>
        </w:rPr>
        <w:t>Tameside</w:t>
      </w:r>
      <w:r>
        <w:t xml:space="preserve"> duty </w:t>
      </w:r>
      <w:r w:rsidR="00366D31">
        <w:t xml:space="preserve">involves </w:t>
      </w:r>
      <w:r>
        <w:t>the well</w:t>
      </w:r>
      <w:r w:rsidR="00366D31">
        <w:t>-</w:t>
      </w:r>
      <w:r>
        <w:t>established</w:t>
      </w:r>
      <w:r w:rsidR="00366D31">
        <w:t xml:space="preserve"> </w:t>
      </w:r>
      <w:r>
        <w:t>principle that a decision-maker</w:t>
      </w:r>
      <w:r w:rsidR="00366D31">
        <w:t xml:space="preserve">, having asked themselves the right question, must </w:t>
      </w:r>
      <w:r>
        <w:t xml:space="preserve">take reasonable steps to acquaint </w:t>
      </w:r>
      <w:r w:rsidR="00366D31">
        <w:t>themselves with</w:t>
      </w:r>
      <w:r>
        <w:t xml:space="preserve"> relevant information to</w:t>
      </w:r>
      <w:r w:rsidR="00A679B6">
        <w:t xml:space="preserve"> enable them to answer it correctly (</w:t>
      </w:r>
      <w:r w:rsidR="00A679B6" w:rsidRPr="00A679B6">
        <w:rPr>
          <w:u w:val="single"/>
        </w:rPr>
        <w:t>Care North East (No.1)</w:t>
      </w:r>
      <w:r w:rsidR="00A679B6">
        <w:t xml:space="preserve"> §18). </w:t>
      </w:r>
      <w:r w:rsidR="006C49C0">
        <w:t>Legally insufficient inquiry</w:t>
      </w:r>
      <w:r w:rsidR="0072151A">
        <w:t xml:space="preserve"> is a</w:t>
      </w:r>
      <w:r w:rsidR="00F12CF5">
        <w:t xml:space="preserve"> distinct </w:t>
      </w:r>
      <w:r w:rsidR="0072151A">
        <w:t>species</w:t>
      </w:r>
      <w:r w:rsidR="00F12CF5">
        <w:t xml:space="preserve"> of public law error</w:t>
      </w:r>
      <w:r w:rsidR="0072151A">
        <w:t>, within an overarching principle of reasonableness</w:t>
      </w:r>
      <w:r w:rsidR="00A16037">
        <w:t xml:space="preserve">, whose value as a unifying </w:t>
      </w:r>
      <w:r w:rsidR="00FE673B">
        <w:t xml:space="preserve">overarching </w:t>
      </w:r>
      <w:r w:rsidR="00A16037">
        <w:t xml:space="preserve">principle </w:t>
      </w:r>
      <w:r w:rsidR="00D65D7A">
        <w:t>is this. It supplies the</w:t>
      </w:r>
      <w:r w:rsidR="00A16037">
        <w:t xml:space="preserve"> constant reminder </w:t>
      </w:r>
      <w:r w:rsidR="00FE673B">
        <w:t>that there is a</w:t>
      </w:r>
      <w:r w:rsidR="00A16037">
        <w:t xml:space="preserve"> contextual built-in latitude for the public authority who is the </w:t>
      </w:r>
      <w:r w:rsidR="00FE673B">
        <w:t>primary decision-maker.</w:t>
      </w:r>
      <w:r w:rsidR="006C49C0">
        <w:t xml:space="preserve"> </w:t>
      </w:r>
      <w:r w:rsidR="00010803">
        <w:t>The</w:t>
      </w:r>
      <w:r w:rsidR="006C49C0">
        <w:t xml:space="preserve"> judicial review Court does not substitute its own </w:t>
      </w:r>
      <w:r w:rsidR="005F610A">
        <w:t xml:space="preserve">view of what inquiry was </w:t>
      </w:r>
      <w:r w:rsidR="00010803">
        <w:t>appropriate</w:t>
      </w:r>
      <w:r w:rsidR="005F610A">
        <w:t>. The inquiry must have been legally insufficient</w:t>
      </w:r>
      <w:r w:rsidR="0019564A">
        <w:t xml:space="preserve">, beyond the </w:t>
      </w:r>
      <w:r w:rsidR="00FC4541">
        <w:t>latitude for contextually reasonable choice.</w:t>
      </w:r>
      <w:r w:rsidR="00515CEF">
        <w:t xml:space="preserve"> </w:t>
      </w:r>
      <w:r w:rsidR="00E31CA3">
        <w:t xml:space="preserve">For “it is generally for the decision-maker to decide on the manner and intensity of the </w:t>
      </w:r>
      <w:r w:rsidR="002C35C2">
        <w:t>inquiry”: s</w:t>
      </w:r>
      <w:r w:rsidR="00515CEF">
        <w:t>ee</w:t>
      </w:r>
      <w:r w:rsidR="00F63E43">
        <w:t xml:space="preserve"> </w:t>
      </w:r>
      <w:r w:rsidR="00F63E43" w:rsidRPr="00845432">
        <w:rPr>
          <w:u w:val="single"/>
        </w:rPr>
        <w:t>Bevan</w:t>
      </w:r>
      <w:r w:rsidR="00F63E43">
        <w:t xml:space="preserve"> </w:t>
      </w:r>
      <w:r w:rsidR="00845432">
        <w:t xml:space="preserve">at </w:t>
      </w:r>
      <w:r w:rsidR="00F63E43">
        <w:t>§</w:t>
      </w:r>
      <w:r w:rsidR="00845432">
        <w:t xml:space="preserve">56; </w:t>
      </w:r>
      <w:r w:rsidR="00515CEF" w:rsidRPr="00E81B71">
        <w:rPr>
          <w:u w:val="single"/>
        </w:rPr>
        <w:t>Care North East (No.1)</w:t>
      </w:r>
      <w:r w:rsidR="00515CEF">
        <w:t xml:space="preserve"> at §</w:t>
      </w:r>
      <w:r w:rsidR="00637AF9">
        <w:t>19</w:t>
      </w:r>
      <w:r w:rsidR="00845432">
        <w:t>;</w:t>
      </w:r>
      <w:r w:rsidR="002C35C2">
        <w:t xml:space="preserve"> and</w:t>
      </w:r>
      <w:r w:rsidR="00F63E43">
        <w:t xml:space="preserve"> </w:t>
      </w:r>
      <w:r w:rsidR="00F63E43" w:rsidRPr="00845432">
        <w:rPr>
          <w:u w:val="single"/>
        </w:rPr>
        <w:t>Care England</w:t>
      </w:r>
      <w:r w:rsidR="00F63E43">
        <w:t xml:space="preserve"> at §54</w:t>
      </w:r>
      <w:r w:rsidR="00845432">
        <w:t>.</w:t>
      </w:r>
    </w:p>
    <w:p w14:paraId="4F41186A" w14:textId="5F7BD4BE" w:rsidR="00F512E9" w:rsidRDefault="00A679B6" w:rsidP="00985993">
      <w:pPr>
        <w:pStyle w:val="ParaLevel1"/>
        <w:tabs>
          <w:tab w:val="clear" w:pos="720"/>
          <w:tab w:val="left" w:pos="567"/>
        </w:tabs>
        <w:ind w:left="567" w:hanging="567"/>
      </w:pPr>
      <w:r>
        <w:t>Here is the essence, as I saw it, of Mr Buttler KC’s arguments on this aspect of the case.</w:t>
      </w:r>
      <w:r w:rsidR="00210E78">
        <w:t xml:space="preserve"> The impugned January </w:t>
      </w:r>
      <w:r w:rsidR="00985993">
        <w:t xml:space="preserve">2023 decision </w:t>
      </w:r>
      <w:r w:rsidR="009A75DA">
        <w:t>letter</w:t>
      </w:r>
      <w:r w:rsidR="00093B8E">
        <w:t xml:space="preserve"> described the food and energy costs increases not fully reflected in CPIH. It recorded that it</w:t>
      </w:r>
      <w:r w:rsidR="0034363B">
        <w:t xml:space="preserve"> seemed clear that energy costs </w:t>
      </w:r>
      <w:r w:rsidR="00985993">
        <w:t>were</w:t>
      </w:r>
      <w:r w:rsidR="0034363B">
        <w:t xml:space="preserve"> a larger proportion of the expenditure of the care home th</w:t>
      </w:r>
      <w:r w:rsidR="00600E71">
        <w:t>a</w:t>
      </w:r>
      <w:r w:rsidR="0034363B">
        <w:t>n of the average private household.</w:t>
      </w:r>
      <w:r w:rsidR="00053FF3">
        <w:t xml:space="preserve"> It explained that energy had increased over the past year by more than CPIH. It recorded that food price increases had increased over the past year by more than CPIH</w:t>
      </w:r>
      <w:r w:rsidR="006954EB">
        <w:t xml:space="preserve">. It gave figures for </w:t>
      </w:r>
      <w:r w:rsidR="00985993">
        <w:t>a</w:t>
      </w:r>
      <w:r w:rsidR="006954EB">
        <w:t xml:space="preserve"> </w:t>
      </w:r>
      <w:r w:rsidR="00985993">
        <w:t>P</w:t>
      </w:r>
      <w:r w:rsidR="006954EB">
        <w:t xml:space="preserve">ie </w:t>
      </w:r>
      <w:r w:rsidR="00985993">
        <w:t>C</w:t>
      </w:r>
      <w:r w:rsidR="006954EB">
        <w:t>hart comparison</w:t>
      </w:r>
      <w:r w:rsidR="001774C8">
        <w:t>. It identified</w:t>
      </w:r>
      <w:r w:rsidR="006954EB">
        <w:t xml:space="preserve"> the slice</w:t>
      </w:r>
      <w:r w:rsidR="001774C8">
        <w:t>s</w:t>
      </w:r>
      <w:r w:rsidR="006954EB">
        <w:t xml:space="preserve"> of costs attributable to a typical care home</w:t>
      </w:r>
      <w:r w:rsidR="002B5E0C">
        <w:t xml:space="preserve"> for energy (9.2%) and food (14.7%), compared with the slices of costs attributable to a typical private household for energy (2.9%)</w:t>
      </w:r>
      <w:r w:rsidR="00FB41F1">
        <w:t xml:space="preserve"> and food (9.3%) in the </w:t>
      </w:r>
      <w:r w:rsidR="001774C8">
        <w:t xml:space="preserve">typical private householder’s </w:t>
      </w:r>
      <w:r w:rsidR="00FB41F1">
        <w:t xml:space="preserve">CPIH basket. In doing so, it referred to the </w:t>
      </w:r>
      <w:r w:rsidR="001774C8">
        <w:t>ONS Sub-Indexes</w:t>
      </w:r>
      <w:r w:rsidR="004F03AB">
        <w:t xml:space="preserve"> for food and energy.</w:t>
      </w:r>
      <w:r w:rsidR="00FC62C2">
        <w:t xml:space="preserve"> </w:t>
      </w:r>
      <w:r w:rsidR="001774C8">
        <w:t>But it never followed through</w:t>
      </w:r>
      <w:r w:rsidR="000B2485">
        <w:t>. It</w:t>
      </w:r>
      <w:r w:rsidR="001774C8">
        <w:t xml:space="preserve"> never joined the dots. </w:t>
      </w:r>
      <w:r w:rsidR="00FC62C2">
        <w:t xml:space="preserve">It referred to </w:t>
      </w:r>
      <w:r w:rsidR="000B2485">
        <w:t>“</w:t>
      </w:r>
      <w:r w:rsidR="00FC62C2">
        <w:t>variations</w:t>
      </w:r>
      <w:r w:rsidR="000B2485">
        <w:t>”</w:t>
      </w:r>
      <w:r w:rsidR="00FC62C2">
        <w:t xml:space="preserve"> between care homes. It said the</w:t>
      </w:r>
      <w:r w:rsidR="001774C8">
        <w:t>re</w:t>
      </w:r>
      <w:r w:rsidR="00FC62C2">
        <w:t xml:space="preserve"> were technical difficulties in </w:t>
      </w:r>
      <w:r w:rsidR="009B34A8">
        <w:t>conducting the Pie Chart Comparison. It said, of</w:t>
      </w:r>
      <w:r w:rsidR="00686EF5">
        <w:t xml:space="preserve"> energy costs, </w:t>
      </w:r>
      <w:r w:rsidR="009B34A8">
        <w:t>that the</w:t>
      </w:r>
      <w:r w:rsidR="00FC4D86">
        <w:t xml:space="preserve"> </w:t>
      </w:r>
      <w:r w:rsidR="000B2485">
        <w:t>“</w:t>
      </w:r>
      <w:r w:rsidR="00FC4D86">
        <w:t>scale</w:t>
      </w:r>
      <w:r w:rsidR="000B2485">
        <w:t>”</w:t>
      </w:r>
      <w:r w:rsidR="00FC4D86">
        <w:t xml:space="preserve"> of the cost pressure not fully reflected in CPIH was less clear than </w:t>
      </w:r>
      <w:r w:rsidR="00D91D19">
        <w:t xml:space="preserve">was </w:t>
      </w:r>
      <w:r w:rsidR="00FC4D86">
        <w:t xml:space="preserve">the fact </w:t>
      </w:r>
      <w:r w:rsidR="00D91D19">
        <w:t>of the</w:t>
      </w:r>
      <w:r w:rsidR="00FC4D86">
        <w:t xml:space="preserve"> cost pressure</w:t>
      </w:r>
      <w:r w:rsidR="00686EF5">
        <w:t xml:space="preserve">. </w:t>
      </w:r>
      <w:r w:rsidR="00D3389F">
        <w:t>It said, of</w:t>
      </w:r>
      <w:r w:rsidR="00686EF5">
        <w:t xml:space="preserve"> food costs, </w:t>
      </w:r>
      <w:r w:rsidR="00D3389F">
        <w:t>that these had</w:t>
      </w:r>
      <w:r w:rsidR="00E4605C">
        <w:t xml:space="preserve"> created the financial pressure but that the </w:t>
      </w:r>
      <w:r w:rsidR="0058130D">
        <w:t>“</w:t>
      </w:r>
      <w:r w:rsidR="00E4605C">
        <w:t>exact scale</w:t>
      </w:r>
      <w:r w:rsidR="0058130D">
        <w:t>”</w:t>
      </w:r>
      <w:r w:rsidR="00E4605C">
        <w:t xml:space="preserve"> of the impact on the care home sector as a whole was hard to determine. What was missing in all of this</w:t>
      </w:r>
      <w:r w:rsidR="00C51D68">
        <w:t xml:space="preserve"> was any attempt to </w:t>
      </w:r>
      <w:r w:rsidR="00C831C0">
        <w:t xml:space="preserve">use the Pie Chart Comparison and the Sub-Indexes to get </w:t>
      </w:r>
      <w:r w:rsidR="0058130D">
        <w:t>to an evaluation of</w:t>
      </w:r>
      <w:r w:rsidR="00C831C0">
        <w:t xml:space="preserve"> quantification of impact</w:t>
      </w:r>
      <w:r w:rsidR="00EE2B3E">
        <w:t>.</w:t>
      </w:r>
      <w:r w:rsidR="00DF6AA0">
        <w:t xml:space="preserve"> By emphasising variation</w:t>
      </w:r>
      <w:r w:rsidR="00EE2B3E">
        <w:t>, and by</w:t>
      </w:r>
      <w:r w:rsidR="00DF6AA0">
        <w:t xml:space="preserve"> emphasising that scale or exact scale was less clear or </w:t>
      </w:r>
      <w:r w:rsidR="00EE2B3E">
        <w:t xml:space="preserve">was </w:t>
      </w:r>
      <w:r w:rsidR="00DF6AA0">
        <w:t>hard to determine</w:t>
      </w:r>
      <w:r w:rsidR="002356F5">
        <w:t xml:space="preserve">, the </w:t>
      </w:r>
      <w:r w:rsidR="00EE2B3E">
        <w:t>C</w:t>
      </w:r>
      <w:r w:rsidR="002356F5">
        <w:t xml:space="preserve">ouncil </w:t>
      </w:r>
      <w:r w:rsidR="0058130D">
        <w:t xml:space="preserve">ducked the issue. It </w:t>
      </w:r>
      <w:r w:rsidR="002356F5">
        <w:t>overlooked the obvious enquiry</w:t>
      </w:r>
      <w:r w:rsidR="00223F41">
        <w:t>. It denied itself a</w:t>
      </w:r>
      <w:r w:rsidR="00D6112F">
        <w:t xml:space="preserve"> calculation</w:t>
      </w:r>
      <w:r w:rsidR="00223F41">
        <w:t>.</w:t>
      </w:r>
      <w:r w:rsidR="00F512E9">
        <w:t xml:space="preserve"> It should have done what Andrews J described in </w:t>
      </w:r>
      <w:r w:rsidR="00AA0A39" w:rsidRPr="009D65A3">
        <w:rPr>
          <w:u w:val="single"/>
        </w:rPr>
        <w:t>R (Law Centres Network</w:t>
      </w:r>
      <w:r w:rsidR="00436174" w:rsidRPr="009D65A3">
        <w:rPr>
          <w:u w:val="single"/>
        </w:rPr>
        <w:t>) v Lord Chancellor</w:t>
      </w:r>
      <w:r w:rsidR="00436174">
        <w:t xml:space="preserve"> [2018] EWHC 1588 (Admin) §92 and made an “attempt </w:t>
      </w:r>
      <w:r w:rsidR="009D65A3">
        <w:t>…</w:t>
      </w:r>
      <w:r w:rsidR="00436174">
        <w:t>to work out the actual figures”</w:t>
      </w:r>
      <w:r w:rsidR="007067CF">
        <w:t xml:space="preserve">. </w:t>
      </w:r>
      <w:r w:rsidR="00B50BCF">
        <w:t xml:space="preserve">It should have done what it has done in the February 2024 proposal for the new </w:t>
      </w:r>
      <w:r w:rsidR="005138E9">
        <w:t>SP Contract Arrangement.</w:t>
      </w:r>
      <w:r w:rsidR="00B50BCF">
        <w:t xml:space="preserve"> </w:t>
      </w:r>
      <w:r w:rsidR="007067CF">
        <w:t xml:space="preserve">Or </w:t>
      </w:r>
      <w:r w:rsidR="00575B08">
        <w:t>(as Mr Buttler KC accepted in his oral submissions) it could have</w:t>
      </w:r>
      <w:r w:rsidR="007067CF">
        <w:t xml:space="preserve"> looked at whether there were unfilled spaces within the care home market or whether there was evidenced infrastructure investment. But it needed to do something. It could not simply wash its hands of the question of appreciating the position on the ground, so as to inform the decision it needed to take.</w:t>
      </w:r>
    </w:p>
    <w:p w14:paraId="51355031" w14:textId="6C0013CA" w:rsidR="00902F1A" w:rsidRDefault="00223F41" w:rsidP="00B8345A">
      <w:pPr>
        <w:pStyle w:val="ParaLevel1"/>
        <w:tabs>
          <w:tab w:val="clear" w:pos="720"/>
          <w:tab w:val="left" w:pos="567"/>
        </w:tabs>
        <w:ind w:left="567" w:hanging="567"/>
      </w:pPr>
      <w:r>
        <w:t>In fact, the C</w:t>
      </w:r>
      <w:r w:rsidR="00D6112F">
        <w:t>laimant</w:t>
      </w:r>
      <w:r w:rsidR="001A7178">
        <w:t xml:space="preserve"> had provided </w:t>
      </w:r>
      <w:r>
        <w:t>a</w:t>
      </w:r>
      <w:r w:rsidR="00301812">
        <w:t>n</w:t>
      </w:r>
      <w:r w:rsidR="001A7178">
        <w:t xml:space="preserve"> analysis in </w:t>
      </w:r>
      <w:r w:rsidR="00301812">
        <w:t xml:space="preserve">the </w:t>
      </w:r>
      <w:r w:rsidR="001A7178">
        <w:t xml:space="preserve">letter </w:t>
      </w:r>
      <w:r>
        <w:t xml:space="preserve">(22.12.22) to which the Council was responding. That </w:t>
      </w:r>
      <w:r w:rsidR="00301812">
        <w:t xml:space="preserve">analysis </w:t>
      </w:r>
      <w:r w:rsidR="005B6607">
        <w:t>included</w:t>
      </w:r>
      <w:r w:rsidR="00C40B2B">
        <w:t xml:space="preserve"> </w:t>
      </w:r>
      <w:r w:rsidR="000A589E">
        <w:t xml:space="preserve">two </w:t>
      </w:r>
      <w:r>
        <w:t>P</w:t>
      </w:r>
      <w:r w:rsidR="00C40B2B">
        <w:t xml:space="preserve">ie </w:t>
      </w:r>
      <w:r>
        <w:t>C</w:t>
      </w:r>
      <w:r w:rsidR="00C40B2B">
        <w:t>hart</w:t>
      </w:r>
      <w:r w:rsidR="000A589E">
        <w:t>s with constituent elements, for a typical care home</w:t>
      </w:r>
      <w:r w:rsidR="005B6607">
        <w:t>. One</w:t>
      </w:r>
      <w:r w:rsidR="00A24010">
        <w:t xml:space="preserve"> </w:t>
      </w:r>
      <w:r w:rsidR="005B6607">
        <w:t xml:space="preserve">Pie Chart left </w:t>
      </w:r>
      <w:r w:rsidR="00A24010">
        <w:t>out return on capital</w:t>
      </w:r>
      <w:r w:rsidR="005B6607">
        <w:t>. The other included it</w:t>
      </w:r>
      <w:r w:rsidR="00A24010">
        <w:t>. The</w:t>
      </w:r>
      <w:r w:rsidR="001C71CA">
        <w:t>se had been</w:t>
      </w:r>
      <w:r w:rsidR="00943B9E">
        <w:t xml:space="preserve"> produced using </w:t>
      </w:r>
      <w:r w:rsidR="001C71CA">
        <w:t xml:space="preserve">published </w:t>
      </w:r>
      <w:r w:rsidR="00943B9E">
        <w:t>survey data from North Tyneside</w:t>
      </w:r>
      <w:r w:rsidR="00F512E9">
        <w:t>, because the Council’s own survey data was awaited when the letter was written</w:t>
      </w:r>
      <w:r w:rsidR="006E4244">
        <w:t>.</w:t>
      </w:r>
      <w:r w:rsidR="004263B6">
        <w:t xml:space="preserve"> The </w:t>
      </w:r>
      <w:r w:rsidR="00EF2442">
        <w:t>P</w:t>
      </w:r>
      <w:r w:rsidR="006A55FC">
        <w:t xml:space="preserve">ie </w:t>
      </w:r>
      <w:r w:rsidR="00EF2442">
        <w:t>C</w:t>
      </w:r>
      <w:r w:rsidR="006A55FC">
        <w:t>hart slices</w:t>
      </w:r>
      <w:r w:rsidR="006E4264">
        <w:t xml:space="preserve"> were put at 17.8% for food and 13.0% for ener</w:t>
      </w:r>
      <w:r w:rsidR="001D6EE1">
        <w:t>gy (when return on capital was excluded)</w:t>
      </w:r>
      <w:r w:rsidR="00EF2442">
        <w:t>; and at</w:t>
      </w:r>
      <w:r w:rsidR="00524495">
        <w:t xml:space="preserve"> 10.7% </w:t>
      </w:r>
      <w:r w:rsidR="00EF2442">
        <w:t xml:space="preserve">for </w:t>
      </w:r>
      <w:r w:rsidR="00524495">
        <w:t xml:space="preserve">food and 7.8% </w:t>
      </w:r>
      <w:r w:rsidR="00EF2442">
        <w:t xml:space="preserve">for </w:t>
      </w:r>
      <w:r w:rsidR="00524495">
        <w:t xml:space="preserve">energy </w:t>
      </w:r>
      <w:r w:rsidR="00EF2442">
        <w:t>(</w:t>
      </w:r>
      <w:r w:rsidR="00524495">
        <w:t>when return on capital was included</w:t>
      </w:r>
      <w:r w:rsidR="00EF2442">
        <w:t>)</w:t>
      </w:r>
      <w:r w:rsidR="00524495">
        <w:t>.</w:t>
      </w:r>
      <w:r w:rsidR="006E22AB">
        <w:t xml:space="preserve"> </w:t>
      </w:r>
      <w:r w:rsidR="001B7E07">
        <w:t xml:space="preserve">ONS </w:t>
      </w:r>
      <w:r w:rsidR="00B8345A">
        <w:t>S</w:t>
      </w:r>
      <w:r w:rsidR="001B7E07">
        <w:t>ub-</w:t>
      </w:r>
      <w:r w:rsidR="00B8345A">
        <w:t>Indexes were used</w:t>
      </w:r>
      <w:r w:rsidR="001B7E07">
        <w:t xml:space="preserve"> – and </w:t>
      </w:r>
      <w:r w:rsidR="00B8345A">
        <w:t>for 5 cost items</w:t>
      </w:r>
      <w:r w:rsidR="001B7E07">
        <w:t xml:space="preserve"> the CPIH overall rate – to produce</w:t>
      </w:r>
      <w:r w:rsidR="00ED22DE">
        <w:t xml:space="preserve"> a picture of actual costs increases for each of the </w:t>
      </w:r>
      <w:r w:rsidR="00937030">
        <w:t>cost portions</w:t>
      </w:r>
      <w:r w:rsidR="00ED22DE">
        <w:t>,</w:t>
      </w:r>
      <w:r w:rsidR="00CC3984">
        <w:t xml:space="preserve"> as at November 2022.</w:t>
      </w:r>
      <w:r w:rsidR="00B9640C">
        <w:t xml:space="preserve"> </w:t>
      </w:r>
      <w:r w:rsidR="00BB4D1B">
        <w:t xml:space="preserve">That gave </w:t>
      </w:r>
      <w:r w:rsidR="00B9640C">
        <w:t>an overall percentage increase in costs</w:t>
      </w:r>
      <w:r w:rsidR="00BB4D1B">
        <w:t xml:space="preserve">, </w:t>
      </w:r>
      <w:r w:rsidR="00B9640C">
        <w:t>compared with</w:t>
      </w:r>
      <w:r w:rsidR="00935BAE">
        <w:t xml:space="preserve"> CPIH at 4.9%</w:t>
      </w:r>
      <w:r w:rsidR="00BB4D1B">
        <w:t xml:space="preserve">. </w:t>
      </w:r>
      <w:r w:rsidR="00381EBE">
        <w:t>There was a calculation of</w:t>
      </w:r>
      <w:r w:rsidR="00BB4D1B">
        <w:t xml:space="preserve"> a</w:t>
      </w:r>
      <w:r w:rsidR="006C5DC5">
        <w:t xml:space="preserve"> real term cost reduction</w:t>
      </w:r>
      <w:r w:rsidR="00BB73AA">
        <w:t xml:space="preserve"> of £58.60 (leaving aside</w:t>
      </w:r>
      <w:r w:rsidR="00B6061A">
        <w:t xml:space="preserve"> return on </w:t>
      </w:r>
      <w:r w:rsidR="00BB73AA">
        <w:t>capital) and £30.73 (including</w:t>
      </w:r>
      <w:r w:rsidR="00B6061A">
        <w:t xml:space="preserve"> it).</w:t>
      </w:r>
      <w:r w:rsidR="00EF5EF6">
        <w:t xml:space="preserve"> </w:t>
      </w:r>
      <w:r w:rsidR="00381EBE">
        <w:t>In fact (</w:t>
      </w:r>
      <w:r w:rsidR="0035646F">
        <w:t>as Mr Buttler KC accepted in his oral reply) t</w:t>
      </w:r>
      <w:r w:rsidR="00EF5EF6">
        <w:t xml:space="preserve">his was a picture which the </w:t>
      </w:r>
      <w:r w:rsidR="0035646F">
        <w:t>Council</w:t>
      </w:r>
      <w:r w:rsidR="00EF5EF6">
        <w:t xml:space="preserve"> could have used as </w:t>
      </w:r>
      <w:r w:rsidR="0035646F">
        <w:t xml:space="preserve">– of itself – constituting </w:t>
      </w:r>
      <w:r w:rsidR="00EF5EF6">
        <w:t xml:space="preserve">a </w:t>
      </w:r>
      <w:r w:rsidR="0035646F">
        <w:t>legally</w:t>
      </w:r>
      <w:r w:rsidR="00EF5EF6">
        <w:t xml:space="preserve"> sufficient enquiry, provided that it grappled with the picture and addressed it</w:t>
      </w:r>
      <w:r w:rsidR="0051255B">
        <w:t xml:space="preserve"> in the </w:t>
      </w:r>
      <w:r w:rsidR="0035646F">
        <w:t xml:space="preserve">decision </w:t>
      </w:r>
      <w:r w:rsidR="0051255B">
        <w:t>letter.</w:t>
      </w:r>
      <w:r w:rsidR="005A0659">
        <w:t xml:space="preserve"> That is the argument.</w:t>
      </w:r>
    </w:p>
    <w:p w14:paraId="614B5C8F" w14:textId="0767D4FD" w:rsidR="002C27F9" w:rsidRDefault="00700930" w:rsidP="009435B9">
      <w:pPr>
        <w:pStyle w:val="ParaLevel1"/>
        <w:tabs>
          <w:tab w:val="clear" w:pos="720"/>
          <w:tab w:val="left" w:pos="567"/>
        </w:tabs>
        <w:ind w:left="567" w:hanging="567"/>
      </w:pPr>
      <w:r>
        <w:t xml:space="preserve">I am unable </w:t>
      </w:r>
      <w:r w:rsidR="00A6712C">
        <w:t xml:space="preserve">to accept </w:t>
      </w:r>
      <w:r w:rsidR="00A079EB">
        <w:t>the contention that there was a legally insufficient inquiry.</w:t>
      </w:r>
      <w:r w:rsidR="00AF35A7">
        <w:t xml:space="preserve"> My reasons are as follows.</w:t>
      </w:r>
    </w:p>
    <w:p w14:paraId="6D771C84" w14:textId="77777777" w:rsidR="002C27F9" w:rsidRDefault="00AF35A7" w:rsidP="002C27F9">
      <w:pPr>
        <w:pStyle w:val="ParaLevel2"/>
        <w:tabs>
          <w:tab w:val="clear" w:pos="1418"/>
          <w:tab w:val="num" w:pos="1134"/>
        </w:tabs>
        <w:ind w:left="1134" w:hanging="567"/>
      </w:pPr>
      <w:r w:rsidRPr="005B1B34">
        <w:rPr>
          <w:u w:val="single"/>
        </w:rPr>
        <w:t>First</w:t>
      </w:r>
      <w:r>
        <w:t>, the starting point is</w:t>
      </w:r>
      <w:r w:rsidR="00700930">
        <w:t xml:space="preserve"> clause 17</w:t>
      </w:r>
      <w:r w:rsidR="00AF346E">
        <w:t>.4 itself. The</w:t>
      </w:r>
      <w:r w:rsidR="00700930">
        <w:t xml:space="preserve"> </w:t>
      </w:r>
      <w:r w:rsidR="00AF346E">
        <w:t>C</w:t>
      </w:r>
      <w:r w:rsidR="00700930">
        <w:t xml:space="preserve">ouncil </w:t>
      </w:r>
      <w:r w:rsidR="00AF346E">
        <w:t xml:space="preserve">had to </w:t>
      </w:r>
      <w:r w:rsidR="00700930">
        <w:t>receive</w:t>
      </w:r>
      <w:r w:rsidR="00AF346E">
        <w:t>,</w:t>
      </w:r>
      <w:r w:rsidR="00700930">
        <w:t xml:space="preserve"> consider and respond to information put forward by </w:t>
      </w:r>
      <w:r w:rsidR="00AF346E">
        <w:t xml:space="preserve">care home </w:t>
      </w:r>
      <w:r w:rsidR="00700930">
        <w:t>providers</w:t>
      </w:r>
      <w:r w:rsidR="00F70A23">
        <w:t xml:space="preserve">. The Council </w:t>
      </w:r>
      <w:r w:rsidR="00717029">
        <w:t xml:space="preserve">also </w:t>
      </w:r>
      <w:r w:rsidR="00F70A23">
        <w:t>had to form a view on the “</w:t>
      </w:r>
      <w:r w:rsidR="00700930">
        <w:t>balance of all available evidence</w:t>
      </w:r>
      <w:r w:rsidR="00F70A23">
        <w:t>”</w:t>
      </w:r>
      <w:r w:rsidR="00700930">
        <w:t>.</w:t>
      </w:r>
    </w:p>
    <w:p w14:paraId="1E361E3B" w14:textId="1C94C34C" w:rsidR="002C27F9" w:rsidRDefault="0069651F" w:rsidP="002C27F9">
      <w:pPr>
        <w:pStyle w:val="ParaLevel2"/>
        <w:tabs>
          <w:tab w:val="clear" w:pos="1418"/>
          <w:tab w:val="num" w:pos="1134"/>
        </w:tabs>
        <w:ind w:left="1134" w:hanging="567"/>
      </w:pPr>
      <w:r w:rsidRPr="002C27F9">
        <w:rPr>
          <w:u w:val="single"/>
        </w:rPr>
        <w:t>Secondly</w:t>
      </w:r>
      <w:r>
        <w:t>, t</w:t>
      </w:r>
      <w:r w:rsidR="00A146DA">
        <w:t>he</w:t>
      </w:r>
      <w:r w:rsidR="0052372C">
        <w:t xml:space="preserve"> Claimant </w:t>
      </w:r>
      <w:r w:rsidR="00D7735B">
        <w:t>had provided information</w:t>
      </w:r>
      <w:r>
        <w:t xml:space="preserve"> on which it relied</w:t>
      </w:r>
      <w:r w:rsidR="00671F7F">
        <w:t xml:space="preserve">. It gave its picture of the inflationary pressures and their impact. </w:t>
      </w:r>
      <w:r w:rsidR="00A146DA">
        <w:t xml:space="preserve">This was available to the decision-maker. </w:t>
      </w:r>
      <w:r w:rsidR="00812BE0">
        <w:t xml:space="preserve">The impugned decision letter refers to it and responds to it. </w:t>
      </w:r>
      <w:r w:rsidR="005728D8">
        <w:t>The Claimant also</w:t>
      </w:r>
      <w:r w:rsidR="00671F7F">
        <w:t xml:space="preserve"> drew the Council’s attention to the </w:t>
      </w:r>
      <w:r w:rsidR="00A6712C">
        <w:t xml:space="preserve">fact that the </w:t>
      </w:r>
      <w:r w:rsidR="005728D8">
        <w:t xml:space="preserve">Council had its own survey evidence and cost of care report, as relevant information. This too was </w:t>
      </w:r>
      <w:r w:rsidR="00812BE0">
        <w:t xml:space="preserve">available to the decision-maker. The impugned decision letter refers </w:t>
      </w:r>
      <w:r w:rsidR="007909C7">
        <w:t xml:space="preserve">(from page 2 onwards) </w:t>
      </w:r>
      <w:r w:rsidR="00812BE0">
        <w:t xml:space="preserve">to </w:t>
      </w:r>
      <w:r w:rsidR="007909C7">
        <w:t>this</w:t>
      </w:r>
      <w:r w:rsidR="00812BE0">
        <w:t xml:space="preserve"> and </w:t>
      </w:r>
      <w:r w:rsidR="007909C7">
        <w:t>makes points about it</w:t>
      </w:r>
      <w:r w:rsidR="00812BE0">
        <w:t>.</w:t>
      </w:r>
    </w:p>
    <w:p w14:paraId="6F7D7DFE" w14:textId="77777777" w:rsidR="002C27F9" w:rsidRDefault="004568A4" w:rsidP="002C27F9">
      <w:pPr>
        <w:pStyle w:val="ParaLevel2"/>
        <w:tabs>
          <w:tab w:val="clear" w:pos="1418"/>
          <w:tab w:val="num" w:pos="1134"/>
        </w:tabs>
        <w:ind w:left="1134" w:hanging="567"/>
      </w:pPr>
      <w:r w:rsidRPr="002C27F9">
        <w:rPr>
          <w:u w:val="single"/>
        </w:rPr>
        <w:t>Thirdly</w:t>
      </w:r>
      <w:r w:rsidR="005D1164">
        <w:t xml:space="preserve">, </w:t>
      </w:r>
      <w:r w:rsidR="00FF1AAE">
        <w:t xml:space="preserve">the </w:t>
      </w:r>
      <w:r w:rsidR="00CF6B21">
        <w:t xml:space="preserve">Council had its </w:t>
      </w:r>
      <w:r w:rsidR="00FF1AAE">
        <w:t>survey evidence and</w:t>
      </w:r>
      <w:r w:rsidR="00700930">
        <w:t xml:space="preserve"> cost of care report </w:t>
      </w:r>
      <w:r w:rsidR="003B3391">
        <w:t>(14.10.22)</w:t>
      </w:r>
      <w:r w:rsidR="00CF6B21">
        <w:t xml:space="preserve">, and this </w:t>
      </w:r>
      <w:r w:rsidR="007E5DAD">
        <w:t xml:space="preserve">involved analysis; not simply </w:t>
      </w:r>
      <w:r w:rsidR="00FF1AAE">
        <w:t>received information about care hom</w:t>
      </w:r>
      <w:r w:rsidR="006853E9">
        <w:t xml:space="preserve">es and their costs. </w:t>
      </w:r>
      <w:r w:rsidR="00904CBD">
        <w:t>The report had included a</w:t>
      </w:r>
      <w:r w:rsidR="00700930">
        <w:t xml:space="preserve"> section on non-staffing costs</w:t>
      </w:r>
      <w:r w:rsidR="00AF3280">
        <w:t>,</w:t>
      </w:r>
      <w:r w:rsidR="00700930">
        <w:t xml:space="preserve"> with a table showing </w:t>
      </w:r>
      <w:r w:rsidR="00AF3280">
        <w:t xml:space="preserve">inflationary cost pressures </w:t>
      </w:r>
      <w:r w:rsidR="00FA5AC8">
        <w:t>for a typical care home. There were</w:t>
      </w:r>
      <w:r w:rsidR="00700930">
        <w:t xml:space="preserve"> 23 categories</w:t>
      </w:r>
      <w:r w:rsidR="00FA5AC8">
        <w:t xml:space="preserve"> of costs making up the Pie Chart</w:t>
      </w:r>
      <w:r w:rsidR="00700930">
        <w:t xml:space="preserve">. For each of those 23 items, the </w:t>
      </w:r>
      <w:r w:rsidR="00FA5AC8">
        <w:t>C</w:t>
      </w:r>
      <w:r w:rsidR="00700930">
        <w:t xml:space="preserve">ouncil had looked at the </w:t>
      </w:r>
      <w:r w:rsidR="00FA5AC8">
        <w:t>S</w:t>
      </w:r>
      <w:r w:rsidR="00700930">
        <w:t>ub</w:t>
      </w:r>
      <w:r w:rsidR="00FA5AC8">
        <w:t>-I</w:t>
      </w:r>
      <w:r w:rsidR="00700930">
        <w:t>ndexes from ONS. It had looked at how th</w:t>
      </w:r>
      <w:r w:rsidR="001F5E1D">
        <w:t>e</w:t>
      </w:r>
      <w:r w:rsidR="00700930">
        <w:t xml:space="preserve"> </w:t>
      </w:r>
      <w:r w:rsidR="001F5E1D">
        <w:t>S</w:t>
      </w:r>
      <w:r w:rsidR="00700930">
        <w:t>ub</w:t>
      </w:r>
      <w:r w:rsidR="001F5E1D">
        <w:t>-I</w:t>
      </w:r>
      <w:r w:rsidR="00700930">
        <w:t xml:space="preserve">ndexes had changed, taking an average over 2021/22. It took the </w:t>
      </w:r>
      <w:r w:rsidR="001F5E1D">
        <w:t>S</w:t>
      </w:r>
      <w:r w:rsidR="00700930">
        <w:t>ub</w:t>
      </w:r>
      <w:r w:rsidR="001F5E1D">
        <w:t>-I</w:t>
      </w:r>
      <w:r w:rsidR="00700930">
        <w:t>ndexes as at April 2022 and compare</w:t>
      </w:r>
      <w:r w:rsidR="001F5E1D">
        <w:t>d</w:t>
      </w:r>
      <w:r w:rsidR="00700930">
        <w:t xml:space="preserve"> them with that average. It took estimates from providers in their survey returns as to their inflationary costs increases described for each of the 23 categories. This work involved a recognition of the way in which inflation operate</w:t>
      </w:r>
      <w:r w:rsidR="00BC53E3">
        <w:t>d</w:t>
      </w:r>
      <w:r w:rsidR="00700930">
        <w:t xml:space="preserve"> differently for different items </w:t>
      </w:r>
      <w:r w:rsidR="00BC53E3">
        <w:t>within the typical care home Pie Chart</w:t>
      </w:r>
      <w:r w:rsidR="00700930">
        <w:t xml:space="preserve">. It involved a recognition of the different </w:t>
      </w:r>
      <w:r w:rsidR="0039582B">
        <w:t>S</w:t>
      </w:r>
      <w:r w:rsidR="00700930">
        <w:t>ub</w:t>
      </w:r>
      <w:r w:rsidR="0039582B">
        <w:t>-I</w:t>
      </w:r>
      <w:r w:rsidR="00700930">
        <w:t>ndexes and the value which they had had up to April 2022. It involved a recognition of what survey returns from care home providers were reporting in terms of inflation uplifts. There were tables including results for a cost of care exercise broken down by elements of cost including food supplies and utilities (electricity, gas and water).</w:t>
      </w:r>
      <w:r w:rsidR="00677C1E">
        <w:t xml:space="preserve"> The Sub-Indexes were also referenced on the third page of the impugned decision letter.</w:t>
      </w:r>
      <w:r w:rsidR="00400EBA">
        <w:t xml:space="preserve"> Another p</w:t>
      </w:r>
      <w:r w:rsidR="00A30C45">
        <w:t xml:space="preserve">art of the picture </w:t>
      </w:r>
      <w:r w:rsidR="00400EBA">
        <w:t xml:space="preserve">– available to the decision-maker – was </w:t>
      </w:r>
      <w:r w:rsidR="00A30C45">
        <w:t>the</w:t>
      </w:r>
      <w:r w:rsidR="00700930">
        <w:t xml:space="preserve"> </w:t>
      </w:r>
      <w:r w:rsidR="00A30C45">
        <w:t xml:space="preserve">Council’s </w:t>
      </w:r>
      <w:r w:rsidR="00700930">
        <w:t xml:space="preserve">draft </w:t>
      </w:r>
      <w:r w:rsidR="00A30C45">
        <w:t>M</w:t>
      </w:r>
      <w:r w:rsidR="00700930">
        <w:t xml:space="preserve">arket </w:t>
      </w:r>
      <w:r w:rsidR="00A30C45">
        <w:t>S</w:t>
      </w:r>
      <w:r w:rsidR="00700930">
        <w:t xml:space="preserve">ustainability </w:t>
      </w:r>
      <w:r w:rsidR="00A30C45">
        <w:t>R</w:t>
      </w:r>
      <w:r w:rsidR="00700930">
        <w:t xml:space="preserve">eport </w:t>
      </w:r>
      <w:r w:rsidR="00A30C45">
        <w:t>(also 14.10.22)</w:t>
      </w:r>
      <w:r w:rsidR="00716281">
        <w:t>. This had</w:t>
      </w:r>
      <w:r w:rsidR="00700930">
        <w:t xml:space="preserve"> recorded the </w:t>
      </w:r>
      <w:r w:rsidR="00716281">
        <w:t>C</w:t>
      </w:r>
      <w:r w:rsidR="00700930">
        <w:t>ouncil</w:t>
      </w:r>
      <w:r w:rsidR="00716281">
        <w:t>’</w:t>
      </w:r>
      <w:r w:rsidR="00700930">
        <w:t>s estimate, based on th</w:t>
      </w:r>
      <w:r w:rsidR="00716281">
        <w:t>e</w:t>
      </w:r>
      <w:r w:rsidR="00700930">
        <w:t xml:space="preserve"> survey, that in April 2022 care homes spent an estimated £24 per week per resident on energy costs</w:t>
      </w:r>
      <w:r w:rsidR="00716281">
        <w:t>; and</w:t>
      </w:r>
      <w:r w:rsidR="00700930">
        <w:t xml:space="preserve"> it was recognised that that figure </w:t>
      </w:r>
      <w:r w:rsidR="00716281">
        <w:t>would</w:t>
      </w:r>
      <w:r w:rsidR="00700930">
        <w:t xml:space="preserve"> have substantially increased since.</w:t>
      </w:r>
    </w:p>
    <w:p w14:paraId="443F3DF7" w14:textId="1B005EFA" w:rsidR="00E5117E" w:rsidRDefault="009435B9" w:rsidP="00E5117E">
      <w:pPr>
        <w:pStyle w:val="ParaLevel2"/>
        <w:tabs>
          <w:tab w:val="clear" w:pos="1418"/>
          <w:tab w:val="num" w:pos="1134"/>
        </w:tabs>
        <w:ind w:left="1134" w:hanging="567"/>
      </w:pPr>
      <w:r w:rsidRPr="002C27F9">
        <w:rPr>
          <w:u w:val="single"/>
        </w:rPr>
        <w:t>Fourthly</w:t>
      </w:r>
      <w:r>
        <w:t xml:space="preserve">, there was further analysis done </w:t>
      </w:r>
      <w:r w:rsidR="002C27F9">
        <w:t>for</w:t>
      </w:r>
      <w:r w:rsidR="00E5117E">
        <w:t xml:space="preserve"> the impugned decision and in the </w:t>
      </w:r>
      <w:r>
        <w:t>decision l</w:t>
      </w:r>
      <w:r w:rsidR="00E90FAB">
        <w:t>etter. For example, the</w:t>
      </w:r>
      <w:r w:rsidR="00700930">
        <w:t xml:space="preserve"> letter explained that having considered the survey returns, some homes were reporting energy costs in 2021/2022 were a slice less than 10% and others were reporting a slice more than 25%. </w:t>
      </w:r>
      <w:r w:rsidR="00D45F6C">
        <w:t>It explained that t</w:t>
      </w:r>
      <w:r w:rsidR="00700930">
        <w:t xml:space="preserve">he survey returns showed large differences in their type of energy used, whether electricity or gas or other fuels. </w:t>
      </w:r>
      <w:r w:rsidR="00D1254C">
        <w:t>The Council had looked at the Sub-Indexes for</w:t>
      </w:r>
      <w:r w:rsidR="00700930">
        <w:t xml:space="preserve"> liquid and solid fuels</w:t>
      </w:r>
      <w:r w:rsidR="00D1254C">
        <w:t>,</w:t>
      </w:r>
      <w:r w:rsidR="00700930">
        <w:t xml:space="preserve"> which had increased by less than 50% in the year to December 2022 while the electricity sub-index during that period had almost doubled and for gas had almost trebled. The </w:t>
      </w:r>
      <w:r w:rsidR="00D1254C">
        <w:t>C</w:t>
      </w:r>
      <w:r w:rsidR="00700930">
        <w:t xml:space="preserve">ouncil had thought about the technical difficulties in comparing the split (the </w:t>
      </w:r>
      <w:r w:rsidR="00D1254C">
        <w:t>P</w:t>
      </w:r>
      <w:r w:rsidR="00700930">
        <w:t xml:space="preserve">ie </w:t>
      </w:r>
      <w:r w:rsidR="00D1254C">
        <w:t>C</w:t>
      </w:r>
      <w:r w:rsidR="00700930">
        <w:t xml:space="preserve">hart comparison) between care home costs and CPIH. The </w:t>
      </w:r>
      <w:r w:rsidR="008115E2">
        <w:t>C</w:t>
      </w:r>
      <w:r w:rsidR="00700930">
        <w:t xml:space="preserve">ouncil had thought about the way in which food price increase had also increased over the past year by more than the CPIH and how these accounted for a higher share of care home expenditure than private household expenses are used for CPIH. The council had also thought about insurance rates and their increase. </w:t>
      </w:r>
      <w:r w:rsidR="008115E2">
        <w:t>Significantly, the C</w:t>
      </w:r>
      <w:r w:rsidR="00700930">
        <w:t xml:space="preserve">ouncil had done some </w:t>
      </w:r>
      <w:r w:rsidR="008F4F26">
        <w:t xml:space="preserve">own-initiative </w:t>
      </w:r>
      <w:r w:rsidR="00700930">
        <w:t xml:space="preserve">analysis of the </w:t>
      </w:r>
      <w:r w:rsidR="008F4F26">
        <w:t>P</w:t>
      </w:r>
      <w:r w:rsidR="00700930">
        <w:t xml:space="preserve">ie </w:t>
      </w:r>
      <w:r w:rsidR="008F4F26">
        <w:t>C</w:t>
      </w:r>
      <w:r w:rsidR="00700930">
        <w:t>hart comparison</w:t>
      </w:r>
      <w:r w:rsidR="008F4F26">
        <w:t>. That is why it was describing</w:t>
      </w:r>
      <w:r w:rsidR="00700930">
        <w:t xml:space="preserve"> survey results as yielding an average of 9.2% (energy) and 14.7% (food), </w:t>
      </w:r>
      <w:r w:rsidR="008F4F26">
        <w:t xml:space="preserve">which it </w:t>
      </w:r>
      <w:r w:rsidR="00700930">
        <w:t xml:space="preserve">compared to the typical private household for CPIH as 2.9% (energy) and 9.3% (food). The </w:t>
      </w:r>
      <w:r w:rsidR="00F34168">
        <w:t>C</w:t>
      </w:r>
      <w:r w:rsidR="00700930">
        <w:t xml:space="preserve">ouncil </w:t>
      </w:r>
      <w:r w:rsidR="00F34168">
        <w:t>also had information about the way S</w:t>
      </w:r>
      <w:r w:rsidR="00700930">
        <w:t>ub</w:t>
      </w:r>
      <w:r w:rsidR="00F34168">
        <w:t>-I</w:t>
      </w:r>
      <w:r w:rsidR="00700930">
        <w:t xml:space="preserve">ndexes for other elements </w:t>
      </w:r>
      <w:r w:rsidR="00F34168">
        <w:t>(</w:t>
      </w:r>
      <w:r w:rsidR="00700930">
        <w:t>eg</w:t>
      </w:r>
      <w:r w:rsidR="00186B8F">
        <w:t>.</w:t>
      </w:r>
      <w:r w:rsidR="00700930">
        <w:t xml:space="preserve"> repairs and maintenance</w:t>
      </w:r>
      <w:r w:rsidR="00F34168">
        <w:t>)</w:t>
      </w:r>
      <w:r w:rsidR="00700930">
        <w:t xml:space="preserve"> had increased by less than CPIH during 2022</w:t>
      </w:r>
      <w:r w:rsidR="00003267">
        <w:t xml:space="preserve"> (the</w:t>
      </w:r>
      <w:r w:rsidR="008B3F66">
        <w:t xml:space="preserve"> Claimant’s table </w:t>
      </w:r>
      <w:r w:rsidR="002A4526">
        <w:t>used</w:t>
      </w:r>
      <w:r w:rsidR="00003267">
        <w:t xml:space="preserve"> a Sub-Index of</w:t>
      </w:r>
      <w:r w:rsidR="00700930">
        <w:t xml:space="preserve"> 14.84%, </w:t>
      </w:r>
      <w:r w:rsidR="00003267">
        <w:t>higher than a</w:t>
      </w:r>
      <w:r w:rsidR="00700930">
        <w:t xml:space="preserve"> CPIH of 14.18%</w:t>
      </w:r>
      <w:r w:rsidR="002A4526">
        <w:t>)</w:t>
      </w:r>
      <w:r w:rsidR="00700930">
        <w:t xml:space="preserve">. </w:t>
      </w:r>
      <w:r w:rsidR="002C4D06">
        <w:t>The Council referred to information about</w:t>
      </w:r>
      <w:r w:rsidR="00700930">
        <w:t xml:space="preserve"> </w:t>
      </w:r>
      <w:r w:rsidR="002C4D06">
        <w:t>G</w:t>
      </w:r>
      <w:r w:rsidR="00700930">
        <w:t>overnment support for energy cost increases.</w:t>
      </w:r>
    </w:p>
    <w:p w14:paraId="79E947C8" w14:textId="1845AE5F" w:rsidR="007C157D" w:rsidRDefault="007C157D" w:rsidP="00E5117E">
      <w:pPr>
        <w:pStyle w:val="ParaLevel2"/>
        <w:tabs>
          <w:tab w:val="clear" w:pos="1418"/>
          <w:tab w:val="num" w:pos="1134"/>
        </w:tabs>
        <w:ind w:left="1134" w:hanging="567"/>
      </w:pPr>
      <w:r w:rsidRPr="00E5117E">
        <w:rPr>
          <w:u w:val="single"/>
        </w:rPr>
        <w:t>Fifthly</w:t>
      </w:r>
      <w:r>
        <w:t xml:space="preserve">, the question was not </w:t>
      </w:r>
      <w:r w:rsidR="003D5D07">
        <w:t xml:space="preserve">one of </w:t>
      </w:r>
      <w:r w:rsidRPr="007C157D">
        <w:t>fee level sufficiency to cover inflationary cost increases</w:t>
      </w:r>
      <w:r w:rsidR="003D5D07">
        <w:t>. The question was one of fee level sufficiency to</w:t>
      </w:r>
      <w:r w:rsidRPr="007C157D">
        <w:t xml:space="preserve"> sustain the efficient and effective operation of a care home market</w:t>
      </w:r>
      <w:r w:rsidR="003D5D07">
        <w:t>.</w:t>
      </w:r>
      <w:r w:rsidR="004620D1">
        <w:t xml:space="preserve"> What was needed was reasonable steps to acquaint </w:t>
      </w:r>
      <w:r w:rsidR="00E308F0">
        <w:t>the Council</w:t>
      </w:r>
      <w:r w:rsidR="004620D1">
        <w:t xml:space="preserve"> with relevant information to enable it to answer th</w:t>
      </w:r>
      <w:r w:rsidR="00E308F0">
        <w:t>at as the</w:t>
      </w:r>
      <w:r w:rsidR="004620D1">
        <w:t xml:space="preserve"> relevant question.</w:t>
      </w:r>
    </w:p>
    <w:p w14:paraId="21101DAB" w14:textId="63495915" w:rsidR="00700930" w:rsidRDefault="00700930" w:rsidP="001A1B58">
      <w:pPr>
        <w:pStyle w:val="ParaLevel1"/>
        <w:tabs>
          <w:tab w:val="clear" w:pos="720"/>
          <w:tab w:val="left" w:pos="567"/>
        </w:tabs>
        <w:ind w:left="567" w:hanging="567"/>
      </w:pPr>
      <w:r>
        <w:t xml:space="preserve">In the light of all of this, </w:t>
      </w:r>
      <w:r w:rsidR="006F4125">
        <w:t xml:space="preserve">I cannot accept that the Council failed to take reasonable steps to acquaint themselves with relevant information to enable </w:t>
      </w:r>
      <w:r w:rsidR="00393B50">
        <w:t>it to answer the relevant question.</w:t>
      </w:r>
      <w:r w:rsidR="00C40BCF">
        <w:t xml:space="preserve"> </w:t>
      </w:r>
      <w:r w:rsidR="00921C85">
        <w:t xml:space="preserve">I add </w:t>
      </w:r>
      <w:r w:rsidR="00E5117E">
        <w:t>t</w:t>
      </w:r>
      <w:r w:rsidR="0003191C">
        <w:t>hree</w:t>
      </w:r>
      <w:r w:rsidR="00E5117E">
        <w:t xml:space="preserve"> points</w:t>
      </w:r>
      <w:r w:rsidR="00921C85">
        <w:t xml:space="preserve">. (1) </w:t>
      </w:r>
      <w:r w:rsidR="0003191C">
        <w:t>First, t</w:t>
      </w:r>
      <w:r w:rsidR="00C40BCF">
        <w:t>he criticisms which are being made are</w:t>
      </w:r>
      <w:r w:rsidR="00C46DAD">
        <w:t>,</w:t>
      </w:r>
      <w:r w:rsidR="00C40BCF">
        <w:t xml:space="preserve"> really</w:t>
      </w:r>
      <w:r w:rsidR="00C46DAD">
        <w:t>,</w:t>
      </w:r>
      <w:r w:rsidR="00C40BCF">
        <w:t xml:space="preserve"> </w:t>
      </w:r>
      <w:r w:rsidR="00A84745">
        <w:t xml:space="preserve">about the reasons that were given. This can be seen in Mr Buttler KC’s concession that the </w:t>
      </w:r>
      <w:r w:rsidR="0071493B">
        <w:t>Claimant’s own</w:t>
      </w:r>
      <w:r w:rsidR="00393B50">
        <w:t xml:space="preserve"> </w:t>
      </w:r>
      <w:r w:rsidR="0071493B">
        <w:t>analysis would have constituted a legally sufficient inquiry, had the decision letter grappled with it.</w:t>
      </w:r>
      <w:r w:rsidR="004560DA">
        <w:t xml:space="preserve"> The inquiry is one thing: it is about the gathering of information and it being available to the decision-maker</w:t>
      </w:r>
      <w:r w:rsidR="00244A1D">
        <w:t>, for their</w:t>
      </w:r>
      <w:r w:rsidR="00BB3AD1">
        <w:t xml:space="preserve"> thinking about and arriving at the decision. </w:t>
      </w:r>
      <w:r w:rsidR="00244A1D">
        <w:t xml:space="preserve">The Claimant’s analysis was gathered and available. </w:t>
      </w:r>
      <w:r w:rsidR="00921C85">
        <w:t>The ‘grappling’ is about the reasons</w:t>
      </w:r>
      <w:r w:rsidR="005169DB">
        <w:t xml:space="preserve"> (there is no unreasonableness challenge).</w:t>
      </w:r>
      <w:r w:rsidR="001A1B58">
        <w:t xml:space="preserve"> (2) </w:t>
      </w:r>
      <w:r w:rsidR="0003191C">
        <w:t>Secondly, f</w:t>
      </w:r>
      <w:r w:rsidR="00CB304B">
        <w:t>or reasons given earlier (§</w:t>
      </w:r>
      <w:r w:rsidR="00A54EB7">
        <w:t>§34-40</w:t>
      </w:r>
      <w:r w:rsidR="00CB304B">
        <w:t xml:space="preserve"> above), </w:t>
      </w:r>
      <w:r w:rsidR="001A1B58">
        <w:t xml:space="preserve">I </w:t>
      </w:r>
      <w:r w:rsidR="00CB304B">
        <w:t xml:space="preserve">accept that </w:t>
      </w:r>
      <w:r w:rsidR="00FD20EA">
        <w:t xml:space="preserve">this ground for judicial review, contextually applied, is available; and that the </w:t>
      </w:r>
      <w:r w:rsidR="00336621" w:rsidRPr="00336621">
        <w:rPr>
          <w:u w:val="single"/>
        </w:rPr>
        <w:t>Care England</w:t>
      </w:r>
      <w:r w:rsidR="00336621">
        <w:t xml:space="preserve"> case involved no crystallised </w:t>
      </w:r>
      <w:r w:rsidR="005138E9">
        <w:t>SP Contract Arrangement</w:t>
      </w:r>
      <w:r w:rsidR="00020D70">
        <w:t xml:space="preserve"> question. (3) </w:t>
      </w:r>
      <w:r w:rsidR="0003191C">
        <w:t>Thirdly, t</w:t>
      </w:r>
      <w:r w:rsidR="00FD0045">
        <w:t xml:space="preserve">here was, however, no duty to conduct any particular </w:t>
      </w:r>
      <w:r w:rsidR="002C35C2">
        <w:t>“</w:t>
      </w:r>
      <w:r w:rsidR="00FD0045">
        <w:t>arithmetical</w:t>
      </w:r>
      <w:r w:rsidR="002C35C2">
        <w:t>”</w:t>
      </w:r>
      <w:r w:rsidR="00FD0045">
        <w:t xml:space="preserve"> assessment – as Mr Buttler KC’s submissions ultimately correctly accepted </w:t>
      </w:r>
      <w:r w:rsidR="008E22A9">
        <w:t>–</w:t>
      </w:r>
      <w:r w:rsidR="00FD0045">
        <w:t xml:space="preserve"> </w:t>
      </w:r>
      <w:r w:rsidR="008E22A9">
        <w:t xml:space="preserve">and on this point there is a parallel with </w:t>
      </w:r>
      <w:r w:rsidR="008E22A9" w:rsidRPr="00520DFB">
        <w:rPr>
          <w:u w:val="single"/>
        </w:rPr>
        <w:t>Care North-East (No.1)</w:t>
      </w:r>
      <w:r w:rsidR="008C33AC">
        <w:t xml:space="preserve"> at </w:t>
      </w:r>
      <w:r w:rsidR="00B33C67">
        <w:t>§</w:t>
      </w:r>
      <w:r w:rsidR="008C33AC">
        <w:t>§32</w:t>
      </w:r>
      <w:r w:rsidR="00B33C67">
        <w:t xml:space="preserve"> and 37</w:t>
      </w:r>
      <w:r w:rsidR="004B11F8">
        <w:t>.</w:t>
      </w:r>
    </w:p>
    <w:p w14:paraId="169BC2EA" w14:textId="7436C4A3" w:rsidR="003C4BD3" w:rsidRPr="003C4BD3" w:rsidRDefault="003C4BD3" w:rsidP="003C4BD3">
      <w:pPr>
        <w:pStyle w:val="ParaLevel1"/>
        <w:numPr>
          <w:ilvl w:val="0"/>
          <w:numId w:val="0"/>
        </w:numPr>
        <w:tabs>
          <w:tab w:val="left" w:pos="567"/>
        </w:tabs>
        <w:rPr>
          <w:u w:val="single"/>
        </w:rPr>
      </w:pPr>
      <w:r w:rsidRPr="003C4BD3">
        <w:rPr>
          <w:u w:val="single"/>
        </w:rPr>
        <w:t xml:space="preserve">Legally </w:t>
      </w:r>
      <w:r w:rsidR="002D3840">
        <w:rPr>
          <w:u w:val="single"/>
        </w:rPr>
        <w:t>A</w:t>
      </w:r>
      <w:r w:rsidRPr="003C4BD3">
        <w:rPr>
          <w:u w:val="single"/>
        </w:rPr>
        <w:t>dequate Reasons</w:t>
      </w:r>
    </w:p>
    <w:p w14:paraId="3CA5FC41" w14:textId="77777777" w:rsidR="00B857B1" w:rsidRDefault="002822E8" w:rsidP="00B857B1">
      <w:pPr>
        <w:pStyle w:val="ParaLevel1"/>
        <w:tabs>
          <w:tab w:val="clear" w:pos="720"/>
          <w:tab w:val="left" w:pos="567"/>
        </w:tabs>
        <w:ind w:left="567" w:hanging="567"/>
      </w:pPr>
      <w:r>
        <w:t xml:space="preserve">Here is the essence, as I saw it, of Mr Buttler KC’s arguments on this aspect of the case. The impugned January 2023 decision letter </w:t>
      </w:r>
      <w:r w:rsidR="00DE3111">
        <w:t xml:space="preserve">needed to include legally </w:t>
      </w:r>
      <w:r w:rsidR="005133F4">
        <w:t xml:space="preserve">adequate reasons – which are </w:t>
      </w:r>
      <w:r w:rsidR="00930F10">
        <w:t xml:space="preserve">proper, adequate and intelligible – </w:t>
      </w:r>
      <w:r w:rsidR="00AD476B">
        <w:t xml:space="preserve">as to </w:t>
      </w:r>
      <w:r w:rsidR="00544A52">
        <w:t>whether</w:t>
      </w:r>
      <w:r w:rsidR="00B23179">
        <w:t>,</w:t>
      </w:r>
      <w:r w:rsidR="00AD476B">
        <w:t xml:space="preserve"> </w:t>
      </w:r>
      <w:r w:rsidR="00544A52">
        <w:t xml:space="preserve">and </w:t>
      </w:r>
      <w:r w:rsidR="00B23179">
        <w:t xml:space="preserve">if so </w:t>
      </w:r>
      <w:r w:rsidR="00544A52">
        <w:t>why</w:t>
      </w:r>
      <w:r w:rsidR="00B23179">
        <w:t>,</w:t>
      </w:r>
      <w:r w:rsidR="00544A52">
        <w:t xml:space="preserve"> the</w:t>
      </w:r>
      <w:r w:rsidR="007635D8" w:rsidRPr="007635D8">
        <w:t xml:space="preserve"> Basic Contractual Mechanism, without an additional uplift, </w:t>
      </w:r>
      <w:r w:rsidR="00544A52">
        <w:t xml:space="preserve">would </w:t>
      </w:r>
      <w:r w:rsidR="007635D8" w:rsidRPr="007635D8">
        <w:t>be sufficient to sustain the efficient and effective operation of a care home market</w:t>
      </w:r>
      <w:r w:rsidR="00544A52">
        <w:t>.</w:t>
      </w:r>
      <w:r w:rsidR="0031596E">
        <w:t xml:space="preserve"> That is because conventional public law standards required legally adequate reasons; or because </w:t>
      </w:r>
      <w:r w:rsidR="00E05474">
        <w:t xml:space="preserve">in public law </w:t>
      </w:r>
      <w:r w:rsidR="0031596E">
        <w:t>a decision-maker who chooses to give reasons must give adequate reasons.</w:t>
      </w:r>
      <w:r w:rsidR="00E05474">
        <w:t xml:space="preserve"> Here, the reasons are wholly inadequate. They do not </w:t>
      </w:r>
      <w:r w:rsidR="00CF4884">
        <w:t xml:space="preserve">explain what the answer is </w:t>
      </w:r>
      <w:r w:rsidR="00BB18A5">
        <w:t xml:space="preserve">to the sufficiency question. </w:t>
      </w:r>
      <w:r w:rsidR="00CF4884">
        <w:t xml:space="preserve">They do not explain why </w:t>
      </w:r>
      <w:r w:rsidR="00A95F34">
        <w:t xml:space="preserve">the Basic Contractual Mechanism would </w:t>
      </w:r>
      <w:r w:rsidR="00A95F34" w:rsidRPr="007635D8">
        <w:t>be sufficient to sustain the efficient and effective operation of a care home market</w:t>
      </w:r>
      <w:r w:rsidR="00A95F34">
        <w:t>.</w:t>
      </w:r>
      <w:r w:rsidR="00757290">
        <w:t xml:space="preserve"> Reference is made to a “likely … case” for using the </w:t>
      </w:r>
      <w:r w:rsidR="00AA1DD0">
        <w:t>MSI Fund grant, and that the Council “may be in a position” to use that grant for in-year fee increases.</w:t>
      </w:r>
      <w:r w:rsidR="00E9040C">
        <w:t xml:space="preserve"> But this </w:t>
      </w:r>
      <w:r w:rsidR="00912219">
        <w:t>is no</w:t>
      </w:r>
      <w:r w:rsidR="00E9040C">
        <w:t xml:space="preserve"> reason</w:t>
      </w:r>
      <w:r w:rsidR="00912219">
        <w:t xml:space="preserve"> for an answer to the question</w:t>
      </w:r>
      <w:r w:rsidR="00E9040C">
        <w:t>. It would be deferring the question needing to be answered.</w:t>
      </w:r>
      <w:r w:rsidR="00BE1AE8">
        <w:t xml:space="preserve"> The reasons needed to grapple with the information </w:t>
      </w:r>
      <w:r w:rsidR="00EC6AAD">
        <w:t xml:space="preserve">which was </w:t>
      </w:r>
      <w:r w:rsidR="00BE1AE8">
        <w:t>provided</w:t>
      </w:r>
      <w:r w:rsidR="00EC6AAD">
        <w:t xml:space="preserve"> and available to the decision-maker, explaining </w:t>
      </w:r>
      <w:r w:rsidR="005C0CF0">
        <w:t>the Council’s view on inflationary impacts for typical care home providers over the past year</w:t>
      </w:r>
      <w:r w:rsidR="006023F5">
        <w:t>, by comparison with CPIH and a typical private household.</w:t>
      </w:r>
      <w:r w:rsidR="000B4B75">
        <w:t xml:space="preserve"> Points </w:t>
      </w:r>
      <w:r w:rsidR="0032074D">
        <w:t xml:space="preserve">made </w:t>
      </w:r>
      <w:r w:rsidR="000B4B75">
        <w:t>about variation and scale d</w:t>
      </w:r>
      <w:r w:rsidR="0032074D">
        <w:t>id</w:t>
      </w:r>
      <w:r w:rsidR="000B4B75">
        <w:t xml:space="preserve"> not grapple with the known and recognised fact, that CPIH was </w:t>
      </w:r>
      <w:r w:rsidR="007131D1">
        <w:t xml:space="preserve">inadequate to keep pace with inflationary cost pressures </w:t>
      </w:r>
      <w:r w:rsidR="0032074D">
        <w:t xml:space="preserve">– especially </w:t>
      </w:r>
      <w:r w:rsidR="007131D1">
        <w:t>for energy and food</w:t>
      </w:r>
      <w:r w:rsidR="0032074D">
        <w:t xml:space="preserve"> – given </w:t>
      </w:r>
      <w:r w:rsidR="0032273C">
        <w:t>the different Pie Charts and the higher portions for energy and food for a care home operator compared with a private householder.</w:t>
      </w:r>
    </w:p>
    <w:p w14:paraId="5782D2CC" w14:textId="77777777" w:rsidR="002C27F9" w:rsidRDefault="006738A6" w:rsidP="002D3840">
      <w:pPr>
        <w:pStyle w:val="ParaLevel1"/>
        <w:tabs>
          <w:tab w:val="clear" w:pos="720"/>
          <w:tab w:val="left" w:pos="567"/>
        </w:tabs>
        <w:ind w:left="567" w:hanging="567"/>
      </w:pPr>
      <w:r>
        <w:t xml:space="preserve">I </w:t>
      </w:r>
      <w:r w:rsidR="00396A8A">
        <w:t>am unable to</w:t>
      </w:r>
      <w:r>
        <w:t xml:space="preserve"> accept the submission that the reasons in the </w:t>
      </w:r>
      <w:r w:rsidR="009C7D6F">
        <w:t>impug</w:t>
      </w:r>
      <w:r w:rsidR="009C7D6F" w:rsidRPr="003B601D">
        <w:t xml:space="preserve">ned </w:t>
      </w:r>
      <w:r w:rsidRPr="003B601D">
        <w:t xml:space="preserve">January </w:t>
      </w:r>
      <w:r w:rsidR="009C7D6F" w:rsidRPr="003B601D">
        <w:t xml:space="preserve">2023 decision letter were legally inadequate. Here </w:t>
      </w:r>
      <w:r w:rsidR="002C27F9">
        <w:t>is why:</w:t>
      </w:r>
    </w:p>
    <w:p w14:paraId="7E7DC2E1" w14:textId="5C47BFF9" w:rsidR="002C27F9" w:rsidRDefault="009C7D6F" w:rsidP="002C27F9">
      <w:pPr>
        <w:pStyle w:val="ParaLevel2"/>
        <w:tabs>
          <w:tab w:val="clear" w:pos="1418"/>
          <w:tab w:val="num" w:pos="1134"/>
        </w:tabs>
        <w:ind w:left="1134" w:hanging="567"/>
      </w:pPr>
      <w:r w:rsidRPr="002D3840">
        <w:rPr>
          <w:u w:val="single"/>
        </w:rPr>
        <w:t>First</w:t>
      </w:r>
      <w:r w:rsidRPr="003B601D">
        <w:t xml:space="preserve">, </w:t>
      </w:r>
      <w:r w:rsidR="00C03893" w:rsidRPr="003B601D">
        <w:t xml:space="preserve">the starting point is again clause 17.4 itself. </w:t>
      </w:r>
      <w:r w:rsidR="00396253">
        <w:t xml:space="preserve">I have to be cautious in allowing public law standards to cut across the </w:t>
      </w:r>
      <w:r w:rsidR="00083E14">
        <w:t xml:space="preserve">content of the </w:t>
      </w:r>
      <w:r w:rsidR="008A4070">
        <w:t>SP Contract Arrangement</w:t>
      </w:r>
      <w:r w:rsidR="00396253">
        <w:t xml:space="preserve">. </w:t>
      </w:r>
      <w:r w:rsidR="00374DC1" w:rsidRPr="003B601D">
        <w:t xml:space="preserve">The </w:t>
      </w:r>
      <w:r w:rsidR="00B85838">
        <w:t xml:space="preserve">Council’s </w:t>
      </w:r>
      <w:r w:rsidR="00374DC1" w:rsidRPr="003B601D">
        <w:t>express dut</w:t>
      </w:r>
      <w:r w:rsidR="00314F91" w:rsidRPr="003B601D">
        <w:t>ies were:</w:t>
      </w:r>
      <w:r w:rsidR="00374DC1" w:rsidRPr="003B601D">
        <w:t xml:space="preserve"> </w:t>
      </w:r>
      <w:r w:rsidR="00B85838">
        <w:t xml:space="preserve">(a) </w:t>
      </w:r>
      <w:r w:rsidR="00374DC1" w:rsidRPr="003B601D">
        <w:t xml:space="preserve">to </w:t>
      </w:r>
      <w:r w:rsidR="00B80FC9" w:rsidRPr="003B601D">
        <w:t>confirm whet</w:t>
      </w:r>
      <w:r w:rsidR="00B80FC9" w:rsidRPr="00B80FC9">
        <w:t>her it ha</w:t>
      </w:r>
      <w:r w:rsidR="00B85838">
        <w:t>d</w:t>
      </w:r>
      <w:r w:rsidR="00B80FC9" w:rsidRPr="00B80FC9">
        <w:t xml:space="preserve"> become aware of any information </w:t>
      </w:r>
      <w:r w:rsidR="00B80FC9">
        <w:t>suggesting</w:t>
      </w:r>
      <w:r w:rsidR="00B80FC9" w:rsidRPr="00B80FC9">
        <w:t xml:space="preserve"> that </w:t>
      </w:r>
      <w:r w:rsidR="00C947B5">
        <w:t>banding rates</w:t>
      </w:r>
      <w:r w:rsidR="00B80FC9" w:rsidRPr="00B80FC9">
        <w:t xml:space="preserve"> may not be sufficient to sustain the efficient and effective operation of a </w:t>
      </w:r>
      <w:r w:rsidR="00C947B5">
        <w:t xml:space="preserve">care home </w:t>
      </w:r>
      <w:r w:rsidR="00B80FC9" w:rsidRPr="00B80FC9">
        <w:t>market</w:t>
      </w:r>
      <w:r w:rsidR="00C947B5">
        <w:t xml:space="preserve">; </w:t>
      </w:r>
      <w:r w:rsidR="00492B01">
        <w:t xml:space="preserve">(b) </w:t>
      </w:r>
      <w:r w:rsidR="00C947B5">
        <w:t>to refer to</w:t>
      </w:r>
      <w:r w:rsidR="006D7700">
        <w:t xml:space="preserve"> information from providers as </w:t>
      </w:r>
      <w:r w:rsidR="00B80FC9" w:rsidRPr="00B80FC9">
        <w:t xml:space="preserve">evidence that </w:t>
      </w:r>
      <w:r w:rsidR="006D7700">
        <w:t>banding rates are</w:t>
      </w:r>
      <w:r w:rsidR="00B80FC9" w:rsidRPr="00B80FC9">
        <w:t xml:space="preserve"> insufficient</w:t>
      </w:r>
      <w:r w:rsidR="00B61508">
        <w:t xml:space="preserve">; and </w:t>
      </w:r>
      <w:r w:rsidR="00492B01">
        <w:t xml:space="preserve">(c) </w:t>
      </w:r>
      <w:r w:rsidR="00B61508">
        <w:t xml:space="preserve">to set out a </w:t>
      </w:r>
      <w:r w:rsidR="00B80FC9" w:rsidRPr="00B80FC9">
        <w:t xml:space="preserve">view </w:t>
      </w:r>
      <w:r w:rsidR="00B61508">
        <w:t>of the</w:t>
      </w:r>
      <w:r w:rsidR="00B80FC9" w:rsidRPr="00B80FC9">
        <w:t xml:space="preserve"> relevance</w:t>
      </w:r>
      <w:r w:rsidR="00B61508">
        <w:t xml:space="preserve"> of that information</w:t>
      </w:r>
      <w:r w:rsidR="00B80FC9" w:rsidRPr="00B80FC9">
        <w:t>.</w:t>
      </w:r>
      <w:r w:rsidR="00314F91">
        <w:t xml:space="preserve"> </w:t>
      </w:r>
      <w:r w:rsidR="00950150">
        <w:t>The fact of writing a reasoned letter</w:t>
      </w:r>
      <w:r w:rsidR="006C76A0">
        <w:t xml:space="preserve"> – which clause 17.4 requires – cannot o</w:t>
      </w:r>
      <w:r w:rsidR="00950150">
        <w:t>f itself be a basis for an expanded obligation</w:t>
      </w:r>
      <w:r w:rsidR="001F131A">
        <w:t xml:space="preserve">. </w:t>
      </w:r>
      <w:r w:rsidR="001A1DE1">
        <w:t xml:space="preserve">I have </w:t>
      </w:r>
      <w:r w:rsidR="00B857B1">
        <w:t>explained</w:t>
      </w:r>
      <w:r w:rsidR="001A1DE1">
        <w:t xml:space="preserve"> that the </w:t>
      </w:r>
      <w:r w:rsidR="00111862">
        <w:t>Council needed to ask</w:t>
      </w:r>
      <w:r w:rsidR="00B97220">
        <w:t xml:space="preserve"> whether the</w:t>
      </w:r>
      <w:r w:rsidR="00B857B1">
        <w:t xml:space="preserve"> Basic Contractual Mechanism, without an additional uplift, </w:t>
      </w:r>
      <w:r w:rsidR="00A839DB">
        <w:t>was</w:t>
      </w:r>
      <w:r w:rsidR="00B857B1">
        <w:t xml:space="preserve"> sufficient to sustain </w:t>
      </w:r>
      <w:r w:rsidR="00B857B1" w:rsidRPr="00AC5E87">
        <w:t xml:space="preserve">the efficient and effective operation of a </w:t>
      </w:r>
      <w:r w:rsidR="00B857B1">
        <w:t>care home market</w:t>
      </w:r>
      <w:r w:rsidR="00B97220">
        <w:t xml:space="preserve">. </w:t>
      </w:r>
      <w:r w:rsidR="006850BB">
        <w:t>That arises from clause 17.4</w:t>
      </w:r>
      <w:r w:rsidR="00494496">
        <w:t>.</w:t>
      </w:r>
      <w:r w:rsidR="006850BB">
        <w:t xml:space="preserve"> </w:t>
      </w:r>
      <w:r w:rsidR="00B97220">
        <w:t xml:space="preserve">In my judgment, the decision letter </w:t>
      </w:r>
      <w:r w:rsidR="008F3094">
        <w:t xml:space="preserve">– which </w:t>
      </w:r>
      <w:r w:rsidR="00B81480">
        <w:t xml:space="preserve">the Council </w:t>
      </w:r>
      <w:r w:rsidR="008F3094">
        <w:t xml:space="preserve">was required to write and did write – </w:t>
      </w:r>
      <w:r w:rsidR="00C2427E">
        <w:t xml:space="preserve">did </w:t>
      </w:r>
      <w:r w:rsidR="008F3094">
        <w:t xml:space="preserve">need to </w:t>
      </w:r>
      <w:r w:rsidR="00C2427E">
        <w:t xml:space="preserve">be sufficient </w:t>
      </w:r>
      <w:r w:rsidR="00191DF7">
        <w:t>so that the</w:t>
      </w:r>
      <w:r w:rsidR="00EA27B5">
        <w:t xml:space="preserve"> recipient </w:t>
      </w:r>
      <w:r w:rsidR="00191DF7">
        <w:t>could</w:t>
      </w:r>
      <w:r w:rsidR="00EA27B5">
        <w:t xml:space="preserve"> understand what view had been reached and </w:t>
      </w:r>
      <w:r w:rsidR="00191DF7">
        <w:t xml:space="preserve">on what basis. </w:t>
      </w:r>
      <w:r w:rsidR="004D7EFF">
        <w:t>But the contextual content of that reasons duty is closely linked to the design of clause 17.4.</w:t>
      </w:r>
      <w:r w:rsidR="008716D3">
        <w:t xml:space="preserve"> </w:t>
      </w:r>
      <w:r w:rsidR="00805CF7">
        <w:t>The reasons would be referring to</w:t>
      </w:r>
      <w:r w:rsidR="008716D3" w:rsidRPr="00B80FC9">
        <w:t xml:space="preserve"> information </w:t>
      </w:r>
      <w:r w:rsidR="008716D3">
        <w:t>suggesting</w:t>
      </w:r>
      <w:r w:rsidR="008716D3" w:rsidRPr="00B80FC9">
        <w:t xml:space="preserve"> that </w:t>
      </w:r>
      <w:r w:rsidR="008716D3">
        <w:t>banding rates</w:t>
      </w:r>
      <w:r w:rsidR="008716D3" w:rsidRPr="00B80FC9">
        <w:t xml:space="preserve"> may not be sufficient to sustain the efficient and effective operation of a </w:t>
      </w:r>
      <w:r w:rsidR="008716D3">
        <w:t xml:space="preserve">care home </w:t>
      </w:r>
      <w:r w:rsidR="008716D3" w:rsidRPr="00B80FC9">
        <w:t>market</w:t>
      </w:r>
      <w:r w:rsidR="00805CF7">
        <w:t xml:space="preserve">, and </w:t>
      </w:r>
      <w:r w:rsidR="008E108F">
        <w:t xml:space="preserve">then </w:t>
      </w:r>
      <w:r w:rsidR="00805CF7">
        <w:t>setting out a view of the relevance of that</w:t>
      </w:r>
      <w:r w:rsidR="008E108F">
        <w:t xml:space="preserve"> (and other)</w:t>
      </w:r>
      <w:r w:rsidR="00805CF7">
        <w:t xml:space="preserve"> information</w:t>
      </w:r>
      <w:r w:rsidR="008E108F">
        <w:t>, all in the context of the question of sufficiency</w:t>
      </w:r>
      <w:r w:rsidR="00440ADF">
        <w:t xml:space="preserve"> to sustain </w:t>
      </w:r>
      <w:r w:rsidR="00440ADF" w:rsidRPr="00AC5E87">
        <w:t xml:space="preserve">the efficient and effective operation of a </w:t>
      </w:r>
      <w:r w:rsidR="00440ADF">
        <w:t>care home market.</w:t>
      </w:r>
    </w:p>
    <w:p w14:paraId="16995CE0" w14:textId="77777777" w:rsidR="002C27F9" w:rsidRDefault="00440ADF" w:rsidP="002C27F9">
      <w:pPr>
        <w:pStyle w:val="ParaLevel2"/>
        <w:tabs>
          <w:tab w:val="clear" w:pos="1418"/>
          <w:tab w:val="num" w:pos="1134"/>
        </w:tabs>
        <w:ind w:left="1134" w:hanging="567"/>
      </w:pPr>
      <w:r w:rsidRPr="002C27F9">
        <w:rPr>
          <w:u w:val="single"/>
        </w:rPr>
        <w:t>Secondly</w:t>
      </w:r>
      <w:r>
        <w:t xml:space="preserve">, </w:t>
      </w:r>
      <w:r w:rsidR="00262590">
        <w:t xml:space="preserve">there is what the relevant question was not. </w:t>
      </w:r>
      <w:r w:rsidR="00E9480B">
        <w:t xml:space="preserve">The Council did not need to ask and answer </w:t>
      </w:r>
      <w:r w:rsidR="00B31BA9">
        <w:t xml:space="preserve">the </w:t>
      </w:r>
      <w:r w:rsidR="00E9480B">
        <w:t xml:space="preserve">question whether the </w:t>
      </w:r>
      <w:r w:rsidR="00262590">
        <w:t>fee level</w:t>
      </w:r>
      <w:r w:rsidR="00E9480B">
        <w:t>s, with the Basic Contractual Mechanism, would be sufficient to</w:t>
      </w:r>
      <w:r w:rsidR="00262590">
        <w:t xml:space="preserve"> cover </w:t>
      </w:r>
      <w:r w:rsidR="00EA7D05">
        <w:t>the past year’s</w:t>
      </w:r>
      <w:r w:rsidR="00E9480B">
        <w:t xml:space="preserve"> </w:t>
      </w:r>
      <w:r w:rsidR="00262590">
        <w:t>inflationary cost increases</w:t>
      </w:r>
      <w:r w:rsidR="00E9480B">
        <w:t>.</w:t>
      </w:r>
      <w:r w:rsidR="0083442D">
        <w:t xml:space="preserve"> The question whether CPIH was sufficient</w:t>
      </w:r>
      <w:r w:rsidR="00B15806">
        <w:t>,</w:t>
      </w:r>
      <w:r w:rsidR="0083442D">
        <w:t xml:space="preserve"> </w:t>
      </w:r>
      <w:r w:rsidR="00F31A07">
        <w:t>to cover a</w:t>
      </w:r>
      <w:r w:rsidR="0083442D">
        <w:t xml:space="preserve"> typical care home operator’s </w:t>
      </w:r>
      <w:r w:rsidR="0027386F">
        <w:t>inflationary cost increases</w:t>
      </w:r>
      <w:r w:rsidR="00F31A07">
        <w:t xml:space="preserve"> over the past year</w:t>
      </w:r>
      <w:r w:rsidR="003B601D">
        <w:t>,</w:t>
      </w:r>
      <w:r w:rsidR="00F31A07">
        <w:t xml:space="preserve"> was not the clause 17.4 question.</w:t>
      </w:r>
      <w:r w:rsidR="00B15806">
        <w:t xml:space="preserve"> There was therefore no necessary duty to ‘grapple’ with that question</w:t>
      </w:r>
      <w:r w:rsidR="00FD790E">
        <w:t>.</w:t>
      </w:r>
    </w:p>
    <w:p w14:paraId="5B24DE45" w14:textId="070FA520" w:rsidR="002C27F9" w:rsidRDefault="003B601D" w:rsidP="002C27F9">
      <w:pPr>
        <w:pStyle w:val="ParaLevel2"/>
        <w:tabs>
          <w:tab w:val="clear" w:pos="1418"/>
          <w:tab w:val="num" w:pos="1134"/>
        </w:tabs>
        <w:ind w:left="1134" w:hanging="567"/>
      </w:pPr>
      <w:r w:rsidRPr="002C27F9">
        <w:rPr>
          <w:u w:val="single"/>
        </w:rPr>
        <w:t>Thirdly</w:t>
      </w:r>
      <w:r>
        <w:t xml:space="preserve">, </w:t>
      </w:r>
      <w:r w:rsidR="00FD790E">
        <w:t xml:space="preserve">the Council </w:t>
      </w:r>
      <w:r w:rsidR="0040522F">
        <w:t xml:space="preserve">in my judgment did </w:t>
      </w:r>
      <w:r w:rsidR="00FD790E">
        <w:t>communicate</w:t>
      </w:r>
      <w:r w:rsidR="0040522F">
        <w:t xml:space="preserve"> its answer. </w:t>
      </w:r>
      <w:r w:rsidR="00D277FD">
        <w:t xml:space="preserve">The Basic Contractual Mechanism, without an additional uplift, was </w:t>
      </w:r>
      <w:r w:rsidR="002D1428">
        <w:t>– in the Council’s view – sufficient to</w:t>
      </w:r>
      <w:r w:rsidR="00D277FD">
        <w:t xml:space="preserve"> sustain </w:t>
      </w:r>
      <w:r w:rsidR="00D277FD" w:rsidRPr="00AC5E87">
        <w:t xml:space="preserve">the efficient and effective operation of a </w:t>
      </w:r>
      <w:r w:rsidR="00D277FD">
        <w:t>care home market. On a fair reading of the letter, it was asking and answering that question (§</w:t>
      </w:r>
      <w:r w:rsidR="00BE59E7">
        <w:t>43</w:t>
      </w:r>
      <w:r w:rsidR="00D277FD">
        <w:t xml:space="preserve"> above).</w:t>
      </w:r>
      <w:r w:rsidR="00F93C24">
        <w:t xml:space="preserve"> The Council then</w:t>
      </w:r>
      <w:r w:rsidR="002C09CB">
        <w:t xml:space="preserve"> explained in </w:t>
      </w:r>
      <w:r w:rsidR="00F93C24">
        <w:t xml:space="preserve">some </w:t>
      </w:r>
      <w:r w:rsidR="002C09CB">
        <w:t xml:space="preserve">detail – over the course of </w:t>
      </w:r>
      <w:r w:rsidR="00892438">
        <w:t xml:space="preserve">the 6 pages of the letter – what </w:t>
      </w:r>
      <w:r w:rsidR="006A13DF">
        <w:t xml:space="preserve">it thought about </w:t>
      </w:r>
      <w:r w:rsidR="006A13DF" w:rsidRPr="00B80FC9">
        <w:t xml:space="preserve">information </w:t>
      </w:r>
      <w:r w:rsidR="006A13DF">
        <w:t>suggesting</w:t>
      </w:r>
      <w:r w:rsidR="006A13DF" w:rsidRPr="00B80FC9">
        <w:t xml:space="preserve"> that </w:t>
      </w:r>
      <w:r w:rsidR="006A13DF">
        <w:t>banding rates</w:t>
      </w:r>
      <w:r w:rsidR="006A13DF" w:rsidRPr="00B80FC9">
        <w:t xml:space="preserve"> may not be sufficient to sustain the efficient and effective operation of a </w:t>
      </w:r>
      <w:r w:rsidR="006A13DF">
        <w:t xml:space="preserve">care home </w:t>
      </w:r>
      <w:r w:rsidR="006A13DF" w:rsidRPr="00B80FC9">
        <w:t>market</w:t>
      </w:r>
      <w:r w:rsidR="009D186E">
        <w:t xml:space="preserve">, and its view of the relevance of that and other information. </w:t>
      </w:r>
      <w:r w:rsidR="005F14E4">
        <w:t xml:space="preserve">The Claimant could see what was being said. </w:t>
      </w:r>
      <w:r w:rsidR="00CD7262">
        <w:t>The Claimant also knew that when reference was made to using MSI Fund grant for inflationary pressures, this was in the context of having just used MS</w:t>
      </w:r>
      <w:r w:rsidR="00494496">
        <w:t>F</w:t>
      </w:r>
      <w:r w:rsidR="00CD7262">
        <w:t xml:space="preserve"> Fund grant for </w:t>
      </w:r>
      <w:r w:rsidR="0008289D">
        <w:t xml:space="preserve">those pressures (the </w:t>
      </w:r>
      <w:r w:rsidR="00B56D31">
        <w:t>four-month</w:t>
      </w:r>
      <w:r w:rsidR="0008289D">
        <w:t xml:space="preserve"> overall 2.4</w:t>
      </w:r>
      <w:r w:rsidR="0022716E">
        <w:t>5</w:t>
      </w:r>
      <w:r w:rsidR="0008289D">
        <w:t>% bump). If the points made in the letter were</w:t>
      </w:r>
      <w:r w:rsidR="00DF6B6F">
        <w:t xml:space="preserve"> not a good basis on the merits for an answer, </w:t>
      </w:r>
      <w:r w:rsidR="00117F64">
        <w:t xml:space="preserve">then </w:t>
      </w:r>
      <w:r w:rsidR="00DF6B6F">
        <w:t>the Claimant was in a</w:t>
      </w:r>
      <w:r w:rsidR="00117F64">
        <w:t>n informed</w:t>
      </w:r>
      <w:r w:rsidR="00DF6B6F">
        <w:t xml:space="preserve"> position to disagree. </w:t>
      </w:r>
      <w:r w:rsidR="005F14E4">
        <w:t xml:space="preserve">If those points were not a reasonable basis for </w:t>
      </w:r>
      <w:r w:rsidR="00DF6B6F">
        <w:t xml:space="preserve">the answer, then the Claimant was in an informed position to </w:t>
      </w:r>
      <w:r w:rsidR="00117F64">
        <w:t>challenge the reasonableness of the decision.</w:t>
      </w:r>
      <w:r w:rsidR="00B56D31">
        <w:t xml:space="preserve"> Whether they were good </w:t>
      </w:r>
      <w:r w:rsidR="001C070B">
        <w:t xml:space="preserve">or bad </w:t>
      </w:r>
      <w:r w:rsidR="00B56D31">
        <w:t xml:space="preserve">reasons on the merits, </w:t>
      </w:r>
      <w:r w:rsidR="00BE5BB7">
        <w:t>whether they were</w:t>
      </w:r>
      <w:r w:rsidR="00B56D31">
        <w:t xml:space="preserve"> </w:t>
      </w:r>
      <w:r w:rsidR="00DC2EAD">
        <w:t>good and bad as to the</w:t>
      </w:r>
      <w:r w:rsidR="00B56D31">
        <w:t xml:space="preserve"> </w:t>
      </w:r>
      <w:r w:rsidR="00BE5BB7">
        <w:t xml:space="preserve">substantive </w:t>
      </w:r>
      <w:r w:rsidR="00B56D31">
        <w:t>reasonableness</w:t>
      </w:r>
      <w:r w:rsidR="00DC2EAD">
        <w:t xml:space="preserve"> of the decision</w:t>
      </w:r>
      <w:r w:rsidR="00B56D31">
        <w:t xml:space="preserve">, they were </w:t>
      </w:r>
      <w:r w:rsidR="00BE5BB7">
        <w:t>clear and intelligible</w:t>
      </w:r>
      <w:r w:rsidR="00B56D31">
        <w:t>.</w:t>
      </w:r>
    </w:p>
    <w:p w14:paraId="3FBECB35" w14:textId="4DEF7660" w:rsidR="00774479" w:rsidRDefault="00F93C24" w:rsidP="002C27F9">
      <w:pPr>
        <w:pStyle w:val="ParaLevel2"/>
        <w:tabs>
          <w:tab w:val="clear" w:pos="1418"/>
          <w:tab w:val="num" w:pos="1134"/>
        </w:tabs>
        <w:ind w:left="1134" w:hanging="567"/>
      </w:pPr>
      <w:r w:rsidRPr="002C27F9">
        <w:rPr>
          <w:u w:val="single"/>
        </w:rPr>
        <w:t>Fourthly</w:t>
      </w:r>
      <w:r w:rsidR="00F56B5A">
        <w:t xml:space="preserve">, the </w:t>
      </w:r>
      <w:r w:rsidR="00A617A9">
        <w:t xml:space="preserve">thrust of the letter was that </w:t>
      </w:r>
      <w:r w:rsidR="001C070B">
        <w:t xml:space="preserve">the Council had a </w:t>
      </w:r>
      <w:r w:rsidR="00A91E80">
        <w:t xml:space="preserve">good broad picture of the operation of the market; </w:t>
      </w:r>
      <w:r w:rsidR="00A617A9">
        <w:t>there were inflationary pressures</w:t>
      </w:r>
      <w:r w:rsidR="00426630">
        <w:t>,</w:t>
      </w:r>
      <w:r w:rsidR="00A617A9">
        <w:t xml:space="preserve"> which </w:t>
      </w:r>
      <w:r w:rsidR="00E01414">
        <w:t>could appropriate</w:t>
      </w:r>
      <w:r w:rsidR="00A03368">
        <w:t>ly</w:t>
      </w:r>
      <w:r w:rsidR="00E01414">
        <w:t xml:space="preserve"> </w:t>
      </w:r>
      <w:r w:rsidR="009006F7">
        <w:t>be</w:t>
      </w:r>
      <w:r w:rsidR="00E01414">
        <w:t xml:space="preserve"> address</w:t>
      </w:r>
      <w:r w:rsidR="00A03368">
        <w:t>ed</w:t>
      </w:r>
      <w:r w:rsidR="00E01414">
        <w:t xml:space="preserve"> using MS</w:t>
      </w:r>
      <w:r w:rsidR="00426630">
        <w:t>I Fund grant</w:t>
      </w:r>
      <w:r w:rsidR="00A03368">
        <w:t>; but that</w:t>
      </w:r>
      <w:r w:rsidR="008545E9">
        <w:t xml:space="preserve"> an additional clause 17.4 uplift was </w:t>
      </w:r>
      <w:r w:rsidR="002D5933">
        <w:t xml:space="preserve">not </w:t>
      </w:r>
      <w:r w:rsidR="00C26203">
        <w:t>warranted</w:t>
      </w:r>
      <w:r w:rsidR="0092544D">
        <w:t xml:space="preserve">. </w:t>
      </w:r>
      <w:r w:rsidR="00543D45">
        <w:t>The letter said it was the</w:t>
      </w:r>
      <w:r w:rsidR="009C5CFB">
        <w:t xml:space="preserve"> Council’s monitoring of the overall health of the sector wh</w:t>
      </w:r>
      <w:r w:rsidR="005316F0">
        <w:t xml:space="preserve">ich was the best way to assess whether fees were currently supporting a sufficient level of surplus. </w:t>
      </w:r>
      <w:r w:rsidR="00D700BB">
        <w:t xml:space="preserve">The cost of care survey had produced some quite detailed evidence about breakdown of non-staffing costs in care homes. </w:t>
      </w:r>
      <w:r w:rsidR="00543D45">
        <w:t>It acknowledged that e</w:t>
      </w:r>
      <w:r w:rsidR="00DD4AE3">
        <w:t>nergy and fuel costs</w:t>
      </w:r>
      <w:r w:rsidR="00C770B2">
        <w:t xml:space="preserve"> were a higher proportion of a typical care home provider’s expenditure</w:t>
      </w:r>
      <w:r w:rsidR="00591F52">
        <w:t>, than they were for a CPIH typical private householder</w:t>
      </w:r>
      <w:r w:rsidR="00426638">
        <w:t xml:space="preserve">, </w:t>
      </w:r>
      <w:r w:rsidR="002049A4">
        <w:t>though there were</w:t>
      </w:r>
      <w:r w:rsidR="00426638">
        <w:t xml:space="preserve"> difficulties in the comparison</w:t>
      </w:r>
      <w:r w:rsidR="00F64221">
        <w:t>, variations between care homes, and</w:t>
      </w:r>
      <w:r w:rsidR="006164E3">
        <w:t xml:space="preserve"> the scale </w:t>
      </w:r>
      <w:r w:rsidR="002049A4">
        <w:t>of the pressure and its impact were hard to determine.</w:t>
      </w:r>
      <w:r w:rsidR="004C708C">
        <w:t xml:space="preserve"> </w:t>
      </w:r>
      <w:r w:rsidR="002068BA">
        <w:t xml:space="preserve">Increases in insurance costs were addressed. </w:t>
      </w:r>
      <w:r w:rsidR="002C27F9">
        <w:t>The letter</w:t>
      </w:r>
      <w:r w:rsidR="007D5A80">
        <w:t xml:space="preserve"> acknowledged, l</w:t>
      </w:r>
      <w:r w:rsidR="004C708C">
        <w:t xml:space="preserve">ooking ahead, </w:t>
      </w:r>
      <w:r w:rsidR="007D5A80">
        <w:t xml:space="preserve">that </w:t>
      </w:r>
      <w:r w:rsidR="00CA242B">
        <w:t>there was a degree of unpredictability</w:t>
      </w:r>
      <w:r w:rsidR="00BF2D4B">
        <w:t xml:space="preserve"> as to costs increases, there was the prospect of using Year 3 </w:t>
      </w:r>
      <w:r w:rsidR="001E43D5">
        <w:t>M</w:t>
      </w:r>
      <w:r w:rsidR="00F856EA">
        <w:t>SI</w:t>
      </w:r>
      <w:r w:rsidR="001E43D5">
        <w:t xml:space="preserve"> Fund grant</w:t>
      </w:r>
      <w:r w:rsidR="008511A7">
        <w:t xml:space="preserve"> (having used Year 2 M</w:t>
      </w:r>
      <w:r w:rsidR="00F856EA">
        <w:t>SF</w:t>
      </w:r>
      <w:r w:rsidR="008511A7">
        <w:t xml:space="preserve"> Fund grant)</w:t>
      </w:r>
      <w:r w:rsidR="007D5A80">
        <w:t>, and there was the</w:t>
      </w:r>
      <w:r w:rsidR="003A201D">
        <w:t xml:space="preserve"> new agreement and contractual mechanism </w:t>
      </w:r>
      <w:r w:rsidR="00F45FDC">
        <w:t xml:space="preserve">which </w:t>
      </w:r>
      <w:r w:rsidR="003A201D">
        <w:t xml:space="preserve">would be designed for </w:t>
      </w:r>
      <w:r w:rsidR="00BD1668">
        <w:t xml:space="preserve">fees from April </w:t>
      </w:r>
      <w:r w:rsidR="003A201D">
        <w:t>2024.</w:t>
      </w:r>
      <w:r w:rsidR="00607CCC">
        <w:t xml:space="preserve"> But the decision was no. There would be no clause 17.4 uplift.</w:t>
      </w:r>
      <w:r w:rsidR="00C26203">
        <w:t xml:space="preserve"> This was not</w:t>
      </w:r>
      <w:r w:rsidR="0074659F">
        <w:t>, in my judgment,</w:t>
      </w:r>
      <w:r w:rsidR="00C26203">
        <w:t xml:space="preserve"> </w:t>
      </w:r>
      <w:r w:rsidR="0074659F">
        <w:t>reasoning below contextually applicable standards of clarity, sufficiency or intelligibility.</w:t>
      </w:r>
    </w:p>
    <w:p w14:paraId="59F16BAF" w14:textId="02639950" w:rsidR="00774479" w:rsidRPr="00774479" w:rsidRDefault="00070BAF" w:rsidP="00774479">
      <w:pPr>
        <w:pStyle w:val="ParaLevel1"/>
        <w:numPr>
          <w:ilvl w:val="0"/>
          <w:numId w:val="0"/>
        </w:numPr>
        <w:tabs>
          <w:tab w:val="left" w:pos="567"/>
        </w:tabs>
        <w:rPr>
          <w:u w:val="single"/>
        </w:rPr>
      </w:pPr>
      <w:r>
        <w:rPr>
          <w:u w:val="single"/>
        </w:rPr>
        <w:t xml:space="preserve">Other </w:t>
      </w:r>
      <w:r w:rsidR="008B5224">
        <w:rPr>
          <w:u w:val="single"/>
        </w:rPr>
        <w:t>Issues</w:t>
      </w:r>
    </w:p>
    <w:p w14:paraId="781DD4E2" w14:textId="77777777" w:rsidR="003F4630" w:rsidRDefault="00476D08" w:rsidP="003F4630">
      <w:pPr>
        <w:pStyle w:val="ParaLevel1"/>
        <w:tabs>
          <w:tab w:val="clear" w:pos="720"/>
          <w:tab w:val="left" w:pos="567"/>
        </w:tabs>
        <w:ind w:left="567" w:hanging="567"/>
      </w:pPr>
      <w:r>
        <w:t>In light of</w:t>
      </w:r>
      <w:r w:rsidR="00F13C43">
        <w:t xml:space="preserve"> my conclusions</w:t>
      </w:r>
      <w:r w:rsidR="00AA2219">
        <w:t xml:space="preserve"> on the three grounds of challenge to the Clause 17 Decision</w:t>
      </w:r>
      <w:r w:rsidR="00F13C43">
        <w:t>, the</w:t>
      </w:r>
      <w:r w:rsidR="00C852A6">
        <w:t xml:space="preserve"> question relating to discretionary bars and remedy</w:t>
      </w:r>
      <w:r w:rsidR="00F13C43">
        <w:t xml:space="preserve"> do not arise. But I will say what I would have concluded</w:t>
      </w:r>
      <w:r w:rsidR="00AA2AF8">
        <w:t xml:space="preserve">, had I been persuaded that the Clause 17 Decision was </w:t>
      </w:r>
      <w:r w:rsidR="00A54484">
        <w:t>vitiated in public law terms.</w:t>
      </w:r>
    </w:p>
    <w:p w14:paraId="15AA2089" w14:textId="21E20207" w:rsidR="003F4630" w:rsidRDefault="0034446D" w:rsidP="003F4630">
      <w:pPr>
        <w:pStyle w:val="ParaLevel2"/>
        <w:tabs>
          <w:tab w:val="clear" w:pos="1418"/>
          <w:tab w:val="num" w:pos="1134"/>
        </w:tabs>
        <w:ind w:left="1134" w:hanging="567"/>
      </w:pPr>
      <w:r w:rsidRPr="003F4630">
        <w:rPr>
          <w:u w:val="single"/>
        </w:rPr>
        <w:t>First</w:t>
      </w:r>
      <w:r>
        <w:t xml:space="preserve">, </w:t>
      </w:r>
      <w:r w:rsidR="00A54484">
        <w:t xml:space="preserve">I would not </w:t>
      </w:r>
      <w:r w:rsidR="00E06219">
        <w:t xml:space="preserve">– in any event – have </w:t>
      </w:r>
      <w:r w:rsidR="00604516">
        <w:t xml:space="preserve">granted a quashing order. </w:t>
      </w:r>
      <w:r w:rsidR="00CC3E2C">
        <w:t xml:space="preserve">In my judgment, a claim for judicial review which </w:t>
      </w:r>
      <w:r>
        <w:t>asks</w:t>
      </w:r>
      <w:r w:rsidR="00CC3E2C">
        <w:t xml:space="preserve"> </w:t>
      </w:r>
      <w:r w:rsidR="003A132E">
        <w:t>a judicial review Court to quash a decision as to</w:t>
      </w:r>
      <w:r w:rsidR="00CC3E2C">
        <w:t xml:space="preserve"> </w:t>
      </w:r>
      <w:r w:rsidR="003A132E">
        <w:t>local authority fees</w:t>
      </w:r>
      <w:r w:rsidR="00CC3E2C">
        <w:t>, decided as an allocation of local authority resources in the run up to a budget</w:t>
      </w:r>
      <w:r w:rsidR="0055715E">
        <w:t xml:space="preserve"> for a new financial year</w:t>
      </w:r>
      <w:r w:rsidR="003A132E">
        <w:t>,</w:t>
      </w:r>
      <w:r w:rsidR="0055715E">
        <w:t xml:space="preserve"> should be challenged with </w:t>
      </w:r>
      <w:r w:rsidR="00CB0A84">
        <w:t xml:space="preserve">(a) a high degree of promptness and (b) </w:t>
      </w:r>
      <w:r w:rsidR="00FD2E85">
        <w:t xml:space="preserve">a request for heavy expedition. Then, if the local authority slows down the process – because </w:t>
      </w:r>
      <w:r w:rsidR="00E7146E">
        <w:t xml:space="preserve">of </w:t>
      </w:r>
      <w:r w:rsidR="00583499">
        <w:t xml:space="preserve">its position in </w:t>
      </w:r>
      <w:r w:rsidR="00E7146E">
        <w:t xml:space="preserve">a letter of response or because </w:t>
      </w:r>
      <w:r w:rsidR="00FD2E85">
        <w:t xml:space="preserve">it </w:t>
      </w:r>
      <w:r w:rsidR="00D038E6">
        <w:t>insists on a long time for</w:t>
      </w:r>
      <w:r w:rsidR="00FD2E85">
        <w:t xml:space="preserve"> a response or </w:t>
      </w:r>
      <w:r w:rsidR="00D038E6">
        <w:t>because it insists on</w:t>
      </w:r>
      <w:r w:rsidR="00FD2E85">
        <w:t xml:space="preserve"> a </w:t>
      </w:r>
      <w:r w:rsidR="00D84DB6">
        <w:t xml:space="preserve">separate </w:t>
      </w:r>
      <w:r w:rsidR="00FD2E85">
        <w:t>permission stage</w:t>
      </w:r>
      <w:r w:rsidR="00D84DB6">
        <w:t xml:space="preserve"> </w:t>
      </w:r>
      <w:r w:rsidR="00D038E6">
        <w:t>at which it fails to</w:t>
      </w:r>
      <w:r w:rsidR="00D84DB6">
        <w:t xml:space="preserve"> administer a clean knock</w:t>
      </w:r>
      <w:r w:rsidR="005A6CE2">
        <w:t>-</w:t>
      </w:r>
      <w:r w:rsidR="00D84DB6">
        <w:t>out blow</w:t>
      </w:r>
      <w:r w:rsidR="00AA0422">
        <w:t xml:space="preserve"> – </w:t>
      </w:r>
      <w:r w:rsidR="008C25BA">
        <w:t xml:space="preserve">it </w:t>
      </w:r>
      <w:r w:rsidR="00AA0422">
        <w:t xml:space="preserve">brings any problems on itself, if the proceedings are delayed. The rule of law applies to </w:t>
      </w:r>
      <w:r w:rsidR="00B87A73">
        <w:t>budget related decisions. The Administrative Court has mechanisms for expedited cases.</w:t>
      </w:r>
      <w:r w:rsidR="00CC2141">
        <w:t xml:space="preserve"> Permission for judicial review can be refused in relation to some remedies and not others. A quashing order means the clause 17 decision </w:t>
      </w:r>
      <w:r w:rsidR="00590930">
        <w:t>is set aside and would need to be retaken</w:t>
      </w:r>
      <w:r w:rsidR="005A6CE2">
        <w:t>. I would have declined that course</w:t>
      </w:r>
      <w:r w:rsidR="00DD4944">
        <w:t>. I would have done so because the Claimant waited three months to commence the proceedings</w:t>
      </w:r>
      <w:r w:rsidR="00BD596A">
        <w:t xml:space="preserve">. There was a reason why the December and January deadlines were designed in </w:t>
      </w:r>
      <w:r w:rsidR="002766B9">
        <w:t>clause 17. The financial year starts on 1 April. The budget is set in March.</w:t>
      </w:r>
      <w:r w:rsidR="0015067C">
        <w:t xml:space="preserve"> I do not accept that the real target was the letter of 22.3.23. All of the grounds – asking the right question, legally </w:t>
      </w:r>
      <w:r w:rsidR="00BF55D9">
        <w:t xml:space="preserve">sufficient inquiry and legally adequate reasons – plainly arose </w:t>
      </w:r>
      <w:r w:rsidR="00583499">
        <w:t xml:space="preserve">out of the January 2023 decision letter. The </w:t>
      </w:r>
      <w:r w:rsidR="00563BE4">
        <w:t xml:space="preserve">decision was not a provisional one or a minded-to decision. It was the </w:t>
      </w:r>
      <w:r w:rsidR="003F6C10">
        <w:t xml:space="preserve">clause 17 decision. The word “intentions” is because the clause 17 decision relates to </w:t>
      </w:r>
      <w:r w:rsidR="0072578E">
        <w:t xml:space="preserve">a future time (1 April). It is true that the letter of claim was met with </w:t>
      </w:r>
      <w:r w:rsidR="00B833AF">
        <w:t xml:space="preserve">the response that the claim was premature because the MSI Fund grant decision was imminent. If prematurity had been a response to a promptly written letter before claim, that </w:t>
      </w:r>
      <w:r w:rsidR="008C0C8A">
        <w:t>might have been different.</w:t>
      </w:r>
      <w:r w:rsidR="001920D0">
        <w:t xml:space="preserve"> I accept there is a serious detriment to good administration and the prospect of unravelling the Clause 17 Decision, in the context where the budget has long ago been allocated and spent. But I do not accept the Council’s contention that quashing would, of necessity, result in a bespoke individualised decision </w:t>
      </w:r>
      <w:r w:rsidR="00B14C26">
        <w:t>involving</w:t>
      </w:r>
      <w:r w:rsidR="001920D0">
        <w:t xml:space="preserve"> a complex reconstruction in the case of each care home provider.</w:t>
      </w:r>
      <w:r w:rsidR="00BA38A9">
        <w:t xml:space="preserve"> I </w:t>
      </w:r>
      <w:r w:rsidR="008B5224">
        <w:t>will</w:t>
      </w:r>
      <w:r w:rsidR="00BA38A9">
        <w:t xml:space="preserve"> reflect this reasoning in the refusal of permission for judicial review, so far as a quashing order was sought.</w:t>
      </w:r>
    </w:p>
    <w:p w14:paraId="335E91C7" w14:textId="77777777" w:rsidR="003F4630" w:rsidRDefault="00AB61B6" w:rsidP="003F4630">
      <w:pPr>
        <w:pStyle w:val="ParaLevel2"/>
        <w:tabs>
          <w:tab w:val="clear" w:pos="1418"/>
          <w:tab w:val="num" w:pos="1134"/>
        </w:tabs>
        <w:ind w:left="1134" w:hanging="567"/>
      </w:pPr>
      <w:r w:rsidRPr="003F4630">
        <w:rPr>
          <w:u w:val="single"/>
        </w:rPr>
        <w:t>Secondly</w:t>
      </w:r>
      <w:r w:rsidRPr="00AB61B6">
        <w:t xml:space="preserve">, </w:t>
      </w:r>
      <w:r w:rsidR="00BA38A9">
        <w:t>n</w:t>
      </w:r>
      <w:r w:rsidR="008C0C8A" w:rsidRPr="00AB61B6">
        <w:t>o</w:t>
      </w:r>
      <w:r w:rsidR="008C0C8A">
        <w:t xml:space="preserve">ne of this means that permission for judicial review </w:t>
      </w:r>
      <w:r w:rsidR="005D166E">
        <w:t>would have been refused</w:t>
      </w:r>
      <w:r w:rsidR="00676C0C">
        <w:t>,</w:t>
      </w:r>
      <w:r w:rsidR="005D166E">
        <w:t xml:space="preserve"> so far as a declaration was concerned. I note that the delay objection </w:t>
      </w:r>
      <w:r w:rsidR="003E600B">
        <w:t xml:space="preserve">would not have led to dismissal in </w:t>
      </w:r>
      <w:r w:rsidR="003E600B" w:rsidRPr="003F4630">
        <w:rPr>
          <w:u w:val="single"/>
        </w:rPr>
        <w:t>Bevan</w:t>
      </w:r>
      <w:r w:rsidR="003E600B">
        <w:t xml:space="preserve"> (at §79). </w:t>
      </w:r>
      <w:r w:rsidR="0098682C">
        <w:t>It does not appear that there was</w:t>
      </w:r>
      <w:r w:rsidR="00E06219">
        <w:t xml:space="preserve"> the utmost promptness in </w:t>
      </w:r>
      <w:r w:rsidR="00676C0C" w:rsidRPr="003F4630">
        <w:rPr>
          <w:u w:val="single"/>
        </w:rPr>
        <w:t>Care North East (No.1)</w:t>
      </w:r>
      <w:r w:rsidR="00676C0C">
        <w:t>.</w:t>
      </w:r>
      <w:r w:rsidR="002B062D">
        <w:t xml:space="preserve"> There have been many cases challenging local authority care home fees. </w:t>
      </w:r>
      <w:r w:rsidR="0011234B">
        <w:t>A judgment, and declaration, finding and recording that the local authority has acted in a manner contrary to law</w:t>
      </w:r>
      <w:r w:rsidR="00C34309">
        <w:t xml:space="preserve"> could be expected to precipitate some form of prospective consideration</w:t>
      </w:r>
      <w:r w:rsidR="009B3FDA">
        <w:t xml:space="preserve"> of appropriate action, without reopening a long-past decision</w:t>
      </w:r>
      <w:r w:rsidR="00BA38A9">
        <w:t>.</w:t>
      </w:r>
    </w:p>
    <w:p w14:paraId="3BEB7F4C" w14:textId="77777777" w:rsidR="003F4630" w:rsidRDefault="005F31D3" w:rsidP="003F4630">
      <w:pPr>
        <w:pStyle w:val="ParaLevel2"/>
        <w:tabs>
          <w:tab w:val="clear" w:pos="1418"/>
          <w:tab w:val="num" w:pos="1134"/>
        </w:tabs>
        <w:ind w:left="1134" w:hanging="567"/>
      </w:pPr>
      <w:r w:rsidRPr="003F4630">
        <w:rPr>
          <w:u w:val="single"/>
        </w:rPr>
        <w:t>Thirdly</w:t>
      </w:r>
      <w:r>
        <w:t xml:space="preserve">, </w:t>
      </w:r>
      <w:r w:rsidR="00246768">
        <w:t xml:space="preserve">I would not have been persuaded by </w:t>
      </w:r>
      <w:r w:rsidR="004A5DAB">
        <w:t xml:space="preserve">the Council’s </w:t>
      </w:r>
      <w:r w:rsidR="00246768">
        <w:t>arguments about detriment to good administration</w:t>
      </w:r>
      <w:r w:rsidR="004A5DAB">
        <w:t xml:space="preserve">, </w:t>
      </w:r>
      <w:r w:rsidR="00246768">
        <w:t>independently of delay.</w:t>
      </w:r>
      <w:r w:rsidR="004A5DAB">
        <w:t xml:space="preserve"> Judicial review remedies are a matter of judgment and discretion. There is a narrow band</w:t>
      </w:r>
      <w:r w:rsidR="000815B0">
        <w:t xml:space="preserve">, within which detriment to good administration could justify the refusal of a remedy – in the context and circumstances – even where </w:t>
      </w:r>
      <w:r w:rsidR="0004641E">
        <w:t>a</w:t>
      </w:r>
      <w:r w:rsidR="000815B0">
        <w:t xml:space="preserve"> </w:t>
      </w:r>
      <w:r w:rsidR="0004641E">
        <w:t>claimant has acted promptly. But</w:t>
      </w:r>
      <w:r w:rsidR="00FA3E3D">
        <w:t xml:space="preserve">, where a claimant has done all that could have been expected, </w:t>
      </w:r>
      <w:r w:rsidR="00003734">
        <w:t xml:space="preserve">and can show unlawfulness, </w:t>
      </w:r>
      <w:r w:rsidR="00FA3E3D">
        <w:t>the court will be extremely circumspect about the blanket denial of a</w:t>
      </w:r>
      <w:r w:rsidR="00003734">
        <w:t>ny</w:t>
      </w:r>
      <w:r w:rsidR="00FA3E3D">
        <w:t xml:space="preserve"> remedy</w:t>
      </w:r>
      <w:r w:rsidR="00003734">
        <w:t>.</w:t>
      </w:r>
    </w:p>
    <w:p w14:paraId="5C1D44AC" w14:textId="04A7FEED" w:rsidR="00C50D96" w:rsidRDefault="00AE7A42" w:rsidP="003F4630">
      <w:pPr>
        <w:pStyle w:val="ParaLevel2"/>
        <w:tabs>
          <w:tab w:val="clear" w:pos="1418"/>
          <w:tab w:val="num" w:pos="1134"/>
        </w:tabs>
        <w:ind w:left="1134" w:hanging="567"/>
      </w:pPr>
      <w:r w:rsidRPr="003F4630">
        <w:rPr>
          <w:u w:val="single"/>
        </w:rPr>
        <w:t>Fourthly</w:t>
      </w:r>
      <w:r w:rsidRPr="00AE7A42">
        <w:t>, no</w:t>
      </w:r>
      <w:r>
        <w:t xml:space="preserve"> argument about non-materiality arises on this part of the case. The Council did not contend </w:t>
      </w:r>
      <w:r w:rsidR="0070408D">
        <w:t xml:space="preserve">– if there was a failure to ask the right question </w:t>
      </w:r>
      <w:r w:rsidR="00B76BC9">
        <w:t>and/</w:t>
      </w:r>
      <w:r w:rsidR="0070408D">
        <w:t xml:space="preserve">or </w:t>
      </w:r>
      <w:r w:rsidR="00B76BC9">
        <w:t xml:space="preserve">adopt a legally sufficient enquiry and/or give legally adequate reasons – that </w:t>
      </w:r>
      <w:r w:rsidR="0070408D">
        <w:t>the decision would inevitably have been the same</w:t>
      </w:r>
      <w:r w:rsidR="006264D9">
        <w:t>. That is the common law test of materiality. Nor did the Council contend – on the same premise – that the outcome would “</w:t>
      </w:r>
      <w:r w:rsidR="00B62B4B">
        <w:t>highly likely</w:t>
      </w:r>
      <w:r w:rsidR="006264D9">
        <w:t>”</w:t>
      </w:r>
      <w:r w:rsidR="00B62B4B">
        <w:t xml:space="preserve"> not </w:t>
      </w:r>
      <w:r w:rsidR="006264D9">
        <w:t>have been “</w:t>
      </w:r>
      <w:r w:rsidR="00B62B4B">
        <w:t>substantially different</w:t>
      </w:r>
      <w:r w:rsidR="006264D9">
        <w:t>”. That is the statutory overlay</w:t>
      </w:r>
      <w:r w:rsidR="00CA3B62">
        <w:t>.</w:t>
      </w:r>
    </w:p>
    <w:p w14:paraId="7E4A0417" w14:textId="02BBA649" w:rsidR="00D0033C" w:rsidRDefault="003F4630" w:rsidP="00D0033C">
      <w:pPr>
        <w:pStyle w:val="ParaLevel1"/>
        <w:numPr>
          <w:ilvl w:val="0"/>
          <w:numId w:val="0"/>
        </w:numPr>
        <w:tabs>
          <w:tab w:val="left" w:pos="567"/>
        </w:tabs>
      </w:pPr>
      <w:r>
        <w:rPr>
          <w:u w:val="single"/>
        </w:rPr>
        <w:t xml:space="preserve">THE </w:t>
      </w:r>
      <w:r w:rsidR="00583E5A">
        <w:rPr>
          <w:u w:val="single"/>
        </w:rPr>
        <w:t xml:space="preserve">MSI </w:t>
      </w:r>
      <w:r w:rsidR="009806CC">
        <w:rPr>
          <w:u w:val="single"/>
        </w:rPr>
        <w:t xml:space="preserve">FUND </w:t>
      </w:r>
      <w:r w:rsidR="00556940">
        <w:rPr>
          <w:u w:val="single"/>
        </w:rPr>
        <w:t>GRANT ALLOCATION DECISION</w:t>
      </w:r>
    </w:p>
    <w:p w14:paraId="0F53706F" w14:textId="2A96219C" w:rsidR="0016722C" w:rsidRDefault="00556940" w:rsidP="00910490">
      <w:pPr>
        <w:pStyle w:val="ParaLevel1"/>
        <w:tabs>
          <w:tab w:val="clear" w:pos="720"/>
          <w:tab w:val="left" w:pos="567"/>
        </w:tabs>
        <w:ind w:left="567" w:hanging="567"/>
      </w:pPr>
      <w:r>
        <w:t>I turn to</w:t>
      </w:r>
      <w:r w:rsidR="0082012D">
        <w:t xml:space="preserve"> the </w:t>
      </w:r>
      <w:r w:rsidR="00051A92">
        <w:t>C</w:t>
      </w:r>
      <w:r w:rsidR="0082012D">
        <w:t>laimant’s challenge to the</w:t>
      </w:r>
      <w:r w:rsidR="00C50D96">
        <w:t xml:space="preserve"> </w:t>
      </w:r>
      <w:r w:rsidR="00051A92">
        <w:t xml:space="preserve">Council’s </w:t>
      </w:r>
      <w:r w:rsidR="00C50D96">
        <w:t>decision on 9 May 2023</w:t>
      </w:r>
      <w:r w:rsidR="008D6C35">
        <w:t>.</w:t>
      </w:r>
      <w:r w:rsidR="0001633C">
        <w:t xml:space="preserve"> </w:t>
      </w:r>
      <w:r>
        <w:t>This is the third target for judicial review. On this part of the case, n</w:t>
      </w:r>
      <w:r w:rsidR="0001633C">
        <w:t xml:space="preserve">o delay </w:t>
      </w:r>
      <w:r w:rsidR="009112BB">
        <w:t xml:space="preserve">argument is </w:t>
      </w:r>
      <w:r w:rsidR="00B81480">
        <w:t>raised,</w:t>
      </w:r>
      <w:r w:rsidR="00413C20">
        <w:t xml:space="preserve"> </w:t>
      </w:r>
      <w:r w:rsidR="004A4CD5">
        <w:t>and no pleading point is raised. This point was</w:t>
      </w:r>
      <w:r w:rsidR="00413C20">
        <w:t xml:space="preserve"> promptly added to the claim by </w:t>
      </w:r>
      <w:r w:rsidR="00910490">
        <w:t xml:space="preserve">clearly-articulated </w:t>
      </w:r>
      <w:r w:rsidR="00413C20">
        <w:t>amendment.</w:t>
      </w:r>
      <w:r w:rsidR="00910490">
        <w:t xml:space="preserve"> </w:t>
      </w:r>
      <w:r w:rsidR="00252A84">
        <w:t>Mr But</w:t>
      </w:r>
      <w:r w:rsidR="00910490">
        <w:t>t</w:t>
      </w:r>
      <w:r w:rsidR="00252A84">
        <w:t>ler KC</w:t>
      </w:r>
      <w:r w:rsidR="00910490">
        <w:t xml:space="preserve"> submi</w:t>
      </w:r>
      <w:r w:rsidR="0016722C">
        <w:t>ts that the</w:t>
      </w:r>
      <w:r w:rsidR="00FF6FC9">
        <w:t xml:space="preserve"> </w:t>
      </w:r>
      <w:r w:rsidR="007B5E0E">
        <w:t xml:space="preserve">Council’s MSI Fund grant allocation </w:t>
      </w:r>
      <w:r w:rsidR="00FF6FC9">
        <w:t>decision of 9 May 2023 was unlawful</w:t>
      </w:r>
      <w:r w:rsidR="00AA4723">
        <w:t xml:space="preserve"> </w:t>
      </w:r>
      <w:r w:rsidR="007B5E0E">
        <w:t>on a single ground</w:t>
      </w:r>
      <w:r w:rsidR="007838F9">
        <w:t>. It</w:t>
      </w:r>
      <w:r w:rsidR="007B5E0E">
        <w:t xml:space="preserve"> </w:t>
      </w:r>
      <w:r w:rsidR="007838F9">
        <w:t xml:space="preserve">was vitiated by a </w:t>
      </w:r>
      <w:r w:rsidR="00AA4723">
        <w:t>materia</w:t>
      </w:r>
      <w:r w:rsidR="007838F9">
        <w:t>l</w:t>
      </w:r>
      <w:r w:rsidR="00AA4723">
        <w:t xml:space="preserve"> misinterpret</w:t>
      </w:r>
      <w:r w:rsidR="007B5E0E">
        <w:t xml:space="preserve">ation of </w:t>
      </w:r>
      <w:r w:rsidR="00AA4723">
        <w:t xml:space="preserve">the </w:t>
      </w:r>
      <w:r w:rsidR="007B5E0E">
        <w:t xml:space="preserve">MSI Fund </w:t>
      </w:r>
      <w:r w:rsidR="00AA4723">
        <w:t xml:space="preserve">grant conditions or </w:t>
      </w:r>
      <w:r w:rsidR="007B5E0E">
        <w:t>MSI N</w:t>
      </w:r>
      <w:r w:rsidR="00AA4723">
        <w:t>on</w:t>
      </w:r>
      <w:r w:rsidR="00137741">
        <w:t>-</w:t>
      </w:r>
      <w:r w:rsidR="007B5E0E">
        <w:t>S</w:t>
      </w:r>
      <w:r w:rsidR="00AA4723">
        <w:t xml:space="preserve">tatutory </w:t>
      </w:r>
      <w:r w:rsidR="007B5E0E">
        <w:t>G</w:t>
      </w:r>
      <w:r w:rsidR="00AA4723">
        <w:t>uidance</w:t>
      </w:r>
      <w:r w:rsidR="007B5E0E">
        <w:t>.</w:t>
      </w:r>
    </w:p>
    <w:p w14:paraId="59763B68" w14:textId="5284F28A" w:rsidR="00CD1A24" w:rsidRDefault="0029716F" w:rsidP="00A85933">
      <w:pPr>
        <w:pStyle w:val="ParaLevel1"/>
        <w:tabs>
          <w:tab w:val="clear" w:pos="720"/>
          <w:tab w:val="left" w:pos="567"/>
        </w:tabs>
        <w:ind w:left="567" w:hanging="567"/>
      </w:pPr>
      <w:r>
        <w:t>Ms Clement KC</w:t>
      </w:r>
      <w:r w:rsidR="00C43564">
        <w:t xml:space="preserve"> and Ms Al-Yassin have multiple answers. (</w:t>
      </w:r>
      <w:r w:rsidR="004E4EB7">
        <w:t>1</w:t>
      </w:r>
      <w:r w:rsidR="00C43564">
        <w:t>) B</w:t>
      </w:r>
      <w:r w:rsidR="009A0FE9">
        <w:t>reach of a grant condition cannot be the subject of a claim for judicial review</w:t>
      </w:r>
      <w:r w:rsidR="00C43564">
        <w:t>, because</w:t>
      </w:r>
      <w:r w:rsidR="009832AE">
        <w:t xml:space="preserve"> any duty to comply with the condition, and the consequences of any failure to do so, are matters for the Secretary of State</w:t>
      </w:r>
      <w:r w:rsidR="008C366D">
        <w:t xml:space="preserve"> not public law errors for the </w:t>
      </w:r>
      <w:r w:rsidR="002B1418">
        <w:t>C</w:t>
      </w:r>
      <w:r w:rsidR="008C366D">
        <w:t xml:space="preserve">ourt. </w:t>
      </w:r>
      <w:r w:rsidR="009E6484">
        <w:t>As explained in</w:t>
      </w:r>
      <w:r w:rsidR="008C366D">
        <w:t xml:space="preserve"> </w:t>
      </w:r>
      <w:r w:rsidR="00DA170A" w:rsidRPr="002B1418">
        <w:rPr>
          <w:u w:val="single"/>
        </w:rPr>
        <w:t>Supportways</w:t>
      </w:r>
      <w:r w:rsidR="00DA170A">
        <w:t xml:space="preserve"> §36 (§</w:t>
      </w:r>
      <w:r w:rsidR="00BE59E7">
        <w:t>33i</w:t>
      </w:r>
      <w:r w:rsidR="00DA170A">
        <w:t xml:space="preserve"> above), </w:t>
      </w:r>
      <w:r w:rsidR="009E6484">
        <w:t>the duty is</w:t>
      </w:r>
      <w:r w:rsidR="008C366D">
        <w:t xml:space="preserve"> owed only to the Secretary of State</w:t>
      </w:r>
      <w:r w:rsidR="00375F49">
        <w:t>.</w:t>
      </w:r>
      <w:r w:rsidR="008C366D">
        <w:t xml:space="preserve"> </w:t>
      </w:r>
      <w:r w:rsidR="001243D2">
        <w:t>Alte</w:t>
      </w:r>
      <w:r w:rsidR="00A85933">
        <w:t>rnatively, j</w:t>
      </w:r>
      <w:r w:rsidR="001243D2">
        <w:t>udicial review should be refused in any event because complaint to the Secretary of State constitutes an adequate alternative remedy.</w:t>
      </w:r>
      <w:r w:rsidR="00A85933">
        <w:t xml:space="preserve"> </w:t>
      </w:r>
      <w:r w:rsidR="004E4EB7">
        <w:t>(2) There was</w:t>
      </w:r>
      <w:r w:rsidR="00E16DAE">
        <w:t xml:space="preserve"> no misinterpretation of the </w:t>
      </w:r>
      <w:r w:rsidR="00CD1A24">
        <w:t xml:space="preserve">MSI Fund </w:t>
      </w:r>
      <w:r w:rsidR="00E16DAE">
        <w:t xml:space="preserve">grant conditions or </w:t>
      </w:r>
      <w:r w:rsidR="002A3060">
        <w:t xml:space="preserve">of </w:t>
      </w:r>
      <w:r w:rsidR="00E16DAE">
        <w:t xml:space="preserve">the </w:t>
      </w:r>
      <w:r w:rsidR="002A3060">
        <w:t xml:space="preserve">MSI Non-Statutory Guidance. </w:t>
      </w:r>
      <w:r w:rsidR="00801E1B">
        <w:t>And insofar as</w:t>
      </w:r>
      <w:r w:rsidR="002A3060">
        <w:t xml:space="preserve"> there was</w:t>
      </w:r>
      <w:r w:rsidR="00134B42">
        <w:t xml:space="preserve"> any departure from </w:t>
      </w:r>
      <w:r w:rsidR="00227872">
        <w:t xml:space="preserve">the </w:t>
      </w:r>
      <w:r w:rsidR="00134B42">
        <w:t xml:space="preserve">grant conditions or </w:t>
      </w:r>
      <w:r w:rsidR="00227872">
        <w:t>the MSI Non-Statutory G</w:t>
      </w:r>
      <w:r w:rsidR="00134B42">
        <w:t xml:space="preserve">uidance, the decision was lawful because the </w:t>
      </w:r>
      <w:r w:rsidR="00227872">
        <w:t>C</w:t>
      </w:r>
      <w:r w:rsidR="00134B42">
        <w:t>ouncil had good reasons for that departure</w:t>
      </w:r>
      <w:r w:rsidR="0036678D">
        <w:t xml:space="preserve"> (a)</w:t>
      </w:r>
      <w:r w:rsidR="00760850">
        <w:t xml:space="preserve"> identified </w:t>
      </w:r>
      <w:r w:rsidR="0036678D">
        <w:t xml:space="preserve">in the Cabinet Report but in any event (b) </w:t>
      </w:r>
      <w:r w:rsidR="001243D2">
        <w:t xml:space="preserve">permissibly </w:t>
      </w:r>
      <w:r w:rsidR="0036678D">
        <w:t>identified in the evidence responding to the judicial review claim (</w:t>
      </w:r>
      <w:r w:rsidR="001243D2">
        <w:t>cf.</w:t>
      </w:r>
      <w:r w:rsidR="009F07A8">
        <w:t xml:space="preserve"> </w:t>
      </w:r>
      <w:r w:rsidR="00901CBC" w:rsidRPr="00A85933">
        <w:rPr>
          <w:u w:val="single"/>
        </w:rPr>
        <w:t>R (</w:t>
      </w:r>
      <w:r w:rsidR="009F07A8" w:rsidRPr="00A85933">
        <w:rPr>
          <w:u w:val="single"/>
        </w:rPr>
        <w:t>X</w:t>
      </w:r>
      <w:r w:rsidR="00901CBC" w:rsidRPr="00A85933">
        <w:rPr>
          <w:u w:val="single"/>
        </w:rPr>
        <w:t>) v Tower Hamlets LBC</w:t>
      </w:r>
      <w:r w:rsidR="00901CBC">
        <w:t xml:space="preserve"> [2013] EWCA Civ 904 </w:t>
      </w:r>
      <w:r w:rsidR="00171DFD">
        <w:t>[2013] 4 All ER 237 at §38</w:t>
      </w:r>
      <w:r w:rsidR="0036678D">
        <w:t>)</w:t>
      </w:r>
      <w:r w:rsidR="009F07A8">
        <w:t xml:space="preserve">. </w:t>
      </w:r>
      <w:r w:rsidR="005F0338">
        <w:t>(</w:t>
      </w:r>
      <w:r w:rsidR="00A85933">
        <w:t>3</w:t>
      </w:r>
      <w:r w:rsidR="005F0338">
        <w:t xml:space="preserve">) </w:t>
      </w:r>
      <w:r w:rsidR="005120B2">
        <w:t>Relief should be refused for non-materiality – at common law or statute – because the</w:t>
      </w:r>
      <w:r w:rsidR="00EE0744">
        <w:t xml:space="preserve"> Council would </w:t>
      </w:r>
      <w:r w:rsidR="005120B2">
        <w:t xml:space="preserve">inevitably </w:t>
      </w:r>
      <w:r w:rsidR="00EE0744">
        <w:t>have</w:t>
      </w:r>
      <w:r w:rsidR="005120B2">
        <w:t>, or is highly likely</w:t>
      </w:r>
      <w:r w:rsidR="00877B78">
        <w:t xml:space="preserve"> substantially to have,</w:t>
      </w:r>
      <w:r w:rsidR="00EE0744">
        <w:t xml:space="preserve"> made the same</w:t>
      </w:r>
      <w:r w:rsidR="003C3BE2">
        <w:t xml:space="preserve"> grant allocation decision </w:t>
      </w:r>
      <w:r w:rsidR="00CD1A24">
        <w:t>absent</w:t>
      </w:r>
      <w:r w:rsidR="00EE0744">
        <w:t xml:space="preserve"> </w:t>
      </w:r>
      <w:r w:rsidR="00877B78">
        <w:t>any misinterpretation</w:t>
      </w:r>
      <w:r w:rsidR="00CD1A24">
        <w:t xml:space="preserve"> of the MSI Fund grant conditions or of the MSI Non-Statutory Guidance.</w:t>
      </w:r>
    </w:p>
    <w:p w14:paraId="572DF9D3" w14:textId="4730447C" w:rsidR="003C1629" w:rsidRDefault="00A274D1" w:rsidP="00583E5A">
      <w:pPr>
        <w:pStyle w:val="ParaLevel1"/>
        <w:tabs>
          <w:tab w:val="clear" w:pos="720"/>
          <w:tab w:val="left" w:pos="567"/>
        </w:tabs>
        <w:ind w:left="567" w:hanging="567"/>
      </w:pPr>
      <w:r>
        <w:t xml:space="preserve">I have </w:t>
      </w:r>
      <w:r w:rsidR="002C07A7">
        <w:t>described the argument that</w:t>
      </w:r>
      <w:r w:rsidR="009F5B9A">
        <w:t xml:space="preserve"> </w:t>
      </w:r>
      <w:r w:rsidR="002C07A7">
        <w:t xml:space="preserve">fell away, about </w:t>
      </w:r>
      <w:r w:rsidR="00DE2FA7">
        <w:t xml:space="preserve">not </w:t>
      </w:r>
      <w:r w:rsidR="002C07A7">
        <w:t xml:space="preserve">using the previous MSF Fund </w:t>
      </w:r>
      <w:r w:rsidR="00DE2FA7">
        <w:t>to cover inflationary pressures (§§</w:t>
      </w:r>
      <w:r w:rsidR="00FD130D">
        <w:t>26-30</w:t>
      </w:r>
      <w:r w:rsidR="00DE2FA7">
        <w:t xml:space="preserve"> above).</w:t>
      </w:r>
      <w:r w:rsidR="00583E5A">
        <w:t xml:space="preserve"> </w:t>
      </w:r>
      <w:r w:rsidR="00DE2FA7">
        <w:t xml:space="preserve">Mr Buttler KC maintained a point </w:t>
      </w:r>
      <w:r w:rsidR="003C1629">
        <w:t xml:space="preserve">– based on the MSI Non-Statutory Guidance </w:t>
      </w:r>
      <w:r w:rsidR="00AA5642">
        <w:t xml:space="preserve">§1.25 – about Pot B of the MSI Fund being </w:t>
      </w:r>
      <w:r w:rsidR="00C132F5">
        <w:t xml:space="preserve">reserved </w:t>
      </w:r>
      <w:r w:rsidR="00AA5642">
        <w:t xml:space="preserve">for </w:t>
      </w:r>
      <w:r w:rsidR="00C132F5">
        <w:t xml:space="preserve">increasing local fee rates “beyond planned inflationary fee uplifts”. </w:t>
      </w:r>
      <w:r w:rsidR="004742EE">
        <w:t xml:space="preserve">The argument was that, if a </w:t>
      </w:r>
      <w:r w:rsidR="009630DF">
        <w:t xml:space="preserve">fee </w:t>
      </w:r>
      <w:r w:rsidR="004742EE">
        <w:t>increase was</w:t>
      </w:r>
      <w:r w:rsidR="00FA0D8C">
        <w:t>,</w:t>
      </w:r>
      <w:r w:rsidR="004742EE">
        <w:t xml:space="preserve"> or needed to be</w:t>
      </w:r>
      <w:r w:rsidR="00FA0D8C">
        <w:t>,</w:t>
      </w:r>
      <w:r w:rsidR="004742EE">
        <w:t xml:space="preserve"> identified</w:t>
      </w:r>
      <w:r w:rsidR="009630DF">
        <w:t xml:space="preserve"> in the Clause 17.4 Decision, that would be a “planned” uplift, needing to be underwritten from other sources</w:t>
      </w:r>
      <w:r w:rsidR="00E75714">
        <w:t xml:space="preserve"> and not </w:t>
      </w:r>
      <w:r w:rsidR="00A86A73">
        <w:t xml:space="preserve">derived </w:t>
      </w:r>
      <w:r w:rsidR="00E75714">
        <w:t>from Pot B of the MSI Fund grant, as the May 2023 1.5% overall increase</w:t>
      </w:r>
      <w:r w:rsidR="00A86A73">
        <w:t xml:space="preserve"> backdated to 1.4.23 was. That would mean Pot B should have been available</w:t>
      </w:r>
      <w:r w:rsidR="00B279C6">
        <w:t xml:space="preserve"> for other uses, including the prospect of more money for care home operators.</w:t>
      </w:r>
      <w:r w:rsidR="009F5B9A">
        <w:t xml:space="preserve"> The problem with this argument, as he rightly conceded in his oral reply, is that it is parasitic on first showing that </w:t>
      </w:r>
      <w:r w:rsidR="00FC40B2">
        <w:t>in law a fee increase needed to be identified in the Clause 17.4 Decision. I have upheld the lawfulness of that decision. So this point falls away too.</w:t>
      </w:r>
    </w:p>
    <w:p w14:paraId="039C44DB" w14:textId="3CE0439B" w:rsidR="00B66E40" w:rsidRPr="002751F9" w:rsidRDefault="002751F9" w:rsidP="002F6A5A">
      <w:pPr>
        <w:pStyle w:val="ParaLevel1"/>
        <w:tabs>
          <w:tab w:val="clear" w:pos="720"/>
          <w:tab w:val="left" w:pos="567"/>
        </w:tabs>
        <w:ind w:left="567" w:hanging="567"/>
        <w:rPr>
          <w:u w:val="single"/>
        </w:rPr>
      </w:pPr>
      <w:r>
        <w:t>What was left wa</w:t>
      </w:r>
      <w:r w:rsidR="00FA0D8C">
        <w:t xml:space="preserve">s </w:t>
      </w:r>
      <w:r w:rsidR="009F4079">
        <w:t>Mr Buttler KC</w:t>
      </w:r>
      <w:r>
        <w:t>’s submission as follows</w:t>
      </w:r>
      <w:r w:rsidR="00617D80">
        <w:t xml:space="preserve">. </w:t>
      </w:r>
      <w:r w:rsidR="002F6886">
        <w:t xml:space="preserve">The Council’s </w:t>
      </w:r>
      <w:r w:rsidR="005029D7">
        <w:t>May 2023 Grant Allocation Decision was required to use</w:t>
      </w:r>
      <w:r w:rsidR="002F6886">
        <w:t xml:space="preserve"> </w:t>
      </w:r>
      <w:r w:rsidR="009F4079">
        <w:t xml:space="preserve">Pot A </w:t>
      </w:r>
      <w:r w:rsidR="005029D7">
        <w:t xml:space="preserve">of its </w:t>
      </w:r>
      <w:r w:rsidR="009E5733">
        <w:t xml:space="preserve">MSI Fund grant </w:t>
      </w:r>
      <w:r w:rsidR="00725DF9">
        <w:t xml:space="preserve">(£1.026m) </w:t>
      </w:r>
      <w:r w:rsidR="009F4079">
        <w:t xml:space="preserve">to </w:t>
      </w:r>
      <w:r w:rsidR="00617D80">
        <w:t>‘</w:t>
      </w:r>
      <w:r w:rsidR="009F4079">
        <w:t>replicate</w:t>
      </w:r>
      <w:r w:rsidR="00617D80">
        <w:t>’</w:t>
      </w:r>
      <w:r w:rsidR="009F4079">
        <w:t xml:space="preserve"> the </w:t>
      </w:r>
      <w:r w:rsidR="00044D57">
        <w:t xml:space="preserve">previous </w:t>
      </w:r>
      <w:r w:rsidR="009F4079">
        <w:t xml:space="preserve">spend of the </w:t>
      </w:r>
      <w:r w:rsidR="00724B88">
        <w:t xml:space="preserve">March 2022 </w:t>
      </w:r>
      <w:r w:rsidR="009F4079">
        <w:t>MSF Fund grant</w:t>
      </w:r>
      <w:r w:rsidR="008D06B3">
        <w:t xml:space="preserve"> (£1.026m)</w:t>
      </w:r>
      <w:r w:rsidR="00D647E1">
        <w:t>.</w:t>
      </w:r>
      <w:r w:rsidR="00801253">
        <w:t xml:space="preserve"> The MSI Non-Statutory Guidance </w:t>
      </w:r>
      <w:r w:rsidR="00481EC1">
        <w:t xml:space="preserve">clearly </w:t>
      </w:r>
      <w:r w:rsidR="00801253">
        <w:t xml:space="preserve">said (§1.22) </w:t>
      </w:r>
      <w:r w:rsidR="00481EC1">
        <w:t>that local</w:t>
      </w:r>
      <w:r w:rsidR="00801253">
        <w:t xml:space="preserve"> authorities must spend their allocation of Pot A on </w:t>
      </w:r>
      <w:r w:rsidR="00BC4CA2">
        <w:t>“</w:t>
      </w:r>
      <w:r w:rsidR="00801253">
        <w:t>maintaining</w:t>
      </w:r>
      <w:r w:rsidR="00BC4CA2">
        <w:t>”</w:t>
      </w:r>
      <w:r w:rsidR="00801253">
        <w:t xml:space="preserve"> the fee uplift made under the </w:t>
      </w:r>
      <w:r w:rsidR="00BC4CA2">
        <w:t>MSF Fund grant</w:t>
      </w:r>
      <w:r w:rsidR="00801253">
        <w:t xml:space="preserve">. </w:t>
      </w:r>
      <w:r w:rsidR="00744A65">
        <w:t xml:space="preserve">This </w:t>
      </w:r>
      <w:r w:rsidR="008B134D">
        <w:t>is a policy document whose</w:t>
      </w:r>
      <w:r w:rsidR="00801253">
        <w:t xml:space="preserve"> objectively correct </w:t>
      </w:r>
      <w:r w:rsidR="008B134D">
        <w:t>construction is a hard-edged question for the judicial review</w:t>
      </w:r>
      <w:r w:rsidR="00801253">
        <w:t xml:space="preserve"> </w:t>
      </w:r>
      <w:r w:rsidR="004443E1">
        <w:t>C</w:t>
      </w:r>
      <w:r w:rsidR="00801253">
        <w:t>ourt</w:t>
      </w:r>
      <w:r w:rsidR="004443E1">
        <w:t xml:space="preserve"> (</w:t>
      </w:r>
      <w:r w:rsidR="008B134D">
        <w:t>see</w:t>
      </w:r>
      <w:r w:rsidR="001210EB">
        <w:t xml:space="preserve"> </w:t>
      </w:r>
      <w:r w:rsidR="001210EB" w:rsidRPr="008B134D">
        <w:rPr>
          <w:u w:val="single"/>
        </w:rPr>
        <w:t>R (JB (Ghana) v SSHD</w:t>
      </w:r>
      <w:r w:rsidR="001210EB">
        <w:t xml:space="preserve"> [2022] EWCA Civ 1392 at §</w:t>
      </w:r>
      <w:r w:rsidR="008B134D">
        <w:t>67)</w:t>
      </w:r>
      <w:r w:rsidR="00D4347F">
        <w:t>. The objectively correct meaning of the words means ‘</w:t>
      </w:r>
      <w:r w:rsidR="00801253">
        <w:t>replicat</w:t>
      </w:r>
      <w:r w:rsidR="00744A65">
        <w:t>ion</w:t>
      </w:r>
      <w:r w:rsidR="00D4347F">
        <w:t>’</w:t>
      </w:r>
      <w:r w:rsidR="00744A65">
        <w:t xml:space="preserve"> </w:t>
      </w:r>
      <w:r w:rsidR="00296E73">
        <w:t xml:space="preserve">of </w:t>
      </w:r>
      <w:r w:rsidR="005E73F5">
        <w:t xml:space="preserve">the previous year’s </w:t>
      </w:r>
      <w:r w:rsidR="00801253">
        <w:t xml:space="preserve">fee uplifts </w:t>
      </w:r>
      <w:r w:rsidR="005E73F5">
        <w:t>from</w:t>
      </w:r>
      <w:r w:rsidR="00296E73">
        <w:t xml:space="preserve"> the</w:t>
      </w:r>
      <w:r w:rsidR="00801253">
        <w:t xml:space="preserve"> MSF </w:t>
      </w:r>
      <w:r w:rsidR="00296E73">
        <w:t>F</w:t>
      </w:r>
      <w:r w:rsidR="00801253">
        <w:t xml:space="preserve">und. </w:t>
      </w:r>
      <w:r w:rsidR="00A51DDA">
        <w:t>In Year 2, t</w:t>
      </w:r>
      <w:r w:rsidR="00801253">
        <w:t xml:space="preserve">he </w:t>
      </w:r>
      <w:r w:rsidR="00296E73">
        <w:t>C</w:t>
      </w:r>
      <w:r w:rsidR="00801253">
        <w:t xml:space="preserve">ouncil had </w:t>
      </w:r>
      <w:r w:rsidR="00296E73">
        <w:t xml:space="preserve">given </w:t>
      </w:r>
      <w:r w:rsidR="00A30469">
        <w:t>home care agencies a</w:t>
      </w:r>
      <w:r w:rsidR="00296E73">
        <w:t>n overall</w:t>
      </w:r>
      <w:r w:rsidR="00801253">
        <w:t xml:space="preserve"> uplift </w:t>
      </w:r>
      <w:r w:rsidR="00A30469">
        <w:t xml:space="preserve">bump </w:t>
      </w:r>
      <w:r w:rsidR="00801253">
        <w:t>of 2.45% over 4 months (</w:t>
      </w:r>
      <w:r w:rsidR="00A30469">
        <w:t>£175k</w:t>
      </w:r>
      <w:r w:rsidR="00801253">
        <w:t xml:space="preserve">) </w:t>
      </w:r>
      <w:r w:rsidR="00A30469">
        <w:t>and care home operators an overall uplift bump of 2.45% over 4 months (</w:t>
      </w:r>
      <w:r w:rsidR="00801253">
        <w:t>£330</w:t>
      </w:r>
      <w:r w:rsidR="005E73F5">
        <w:t>k</w:t>
      </w:r>
      <w:r w:rsidR="00801253">
        <w:t>)</w:t>
      </w:r>
      <w:r w:rsidR="00A51DDA">
        <w:t>, using the MSF Fund</w:t>
      </w:r>
      <w:r w:rsidR="002F6A5A">
        <w:t xml:space="preserve"> grant</w:t>
      </w:r>
      <w:r w:rsidR="00801253">
        <w:t xml:space="preserve">. </w:t>
      </w:r>
      <w:r w:rsidR="00A51DDA">
        <w:t xml:space="preserve">Equivalent funding could be spread over 12 months </w:t>
      </w:r>
      <w:r w:rsidR="002F6A5A">
        <w:t>in Year 3, using the MSI Fund grant. That was the course which the Council’s public law duty of policy-adherence required, absent a</w:t>
      </w:r>
      <w:r w:rsidR="003C3BC3">
        <w:t xml:space="preserve"> contemporaneously identified good reason </w:t>
      </w:r>
      <w:r w:rsidR="002F6A5A">
        <w:t>for departure</w:t>
      </w:r>
      <w:r w:rsidR="00BE662D">
        <w:t xml:space="preserve">. </w:t>
      </w:r>
      <w:r w:rsidR="00BE6AAF">
        <w:t>However, t</w:t>
      </w:r>
      <w:r w:rsidR="00BE662D">
        <w:t>he Council misunderstood the Non-Statutory Guidance. The Cabinet report (</w:t>
      </w:r>
      <w:r w:rsidR="009E2AB0">
        <w:t xml:space="preserve">9.5.23) recommended, as being consistent with the </w:t>
      </w:r>
      <w:r w:rsidR="00BE6AAF">
        <w:t xml:space="preserve">MSI </w:t>
      </w:r>
      <w:r w:rsidR="009E2AB0">
        <w:t>Non-Statutory Guidance,</w:t>
      </w:r>
      <w:r w:rsidR="00F70E91">
        <w:t xml:space="preserve"> uses of Pot A which did not allocate £175k to home care agencies and did not allocate £330k to care home operators</w:t>
      </w:r>
      <w:r w:rsidR="00BE6AAF">
        <w:t>. It recommended, as consistent with the MSI Non-Statutory Guidance</w:t>
      </w:r>
      <w:r w:rsidR="00286850">
        <w:t>, the use of</w:t>
      </w:r>
      <w:r w:rsidR="00890EC1">
        <w:t xml:space="preserve"> £770k </w:t>
      </w:r>
      <w:r w:rsidR="00534930">
        <w:t xml:space="preserve">from Pot B </w:t>
      </w:r>
      <w:r w:rsidR="00890EC1">
        <w:t xml:space="preserve">to fund the overall </w:t>
      </w:r>
      <w:r w:rsidR="00801253">
        <w:t xml:space="preserve">1.5% increase </w:t>
      </w:r>
      <w:r w:rsidR="00890EC1">
        <w:t>in car</w:t>
      </w:r>
      <w:r w:rsidR="00286850">
        <w:t>e</w:t>
      </w:r>
      <w:r w:rsidR="00890EC1">
        <w:t xml:space="preserve"> home fees</w:t>
      </w:r>
      <w:r w:rsidR="00286850">
        <w:t xml:space="preserve"> for Year 3</w:t>
      </w:r>
      <w:r w:rsidR="00534930">
        <w:t>. Had the Council</w:t>
      </w:r>
      <w:r w:rsidR="00801253">
        <w:t xml:space="preserve"> </w:t>
      </w:r>
      <w:r w:rsidR="00286850">
        <w:t xml:space="preserve">correctly </w:t>
      </w:r>
      <w:r w:rsidR="00801253">
        <w:t xml:space="preserve">interpreted the </w:t>
      </w:r>
      <w:r w:rsidR="004B16CB">
        <w:t>MSI Non-S</w:t>
      </w:r>
      <w:r w:rsidR="00801253">
        <w:t xml:space="preserve">tatutory </w:t>
      </w:r>
      <w:r w:rsidR="004B16CB">
        <w:t>G</w:t>
      </w:r>
      <w:r w:rsidR="00801253">
        <w:t>uidance</w:t>
      </w:r>
      <w:r w:rsidR="00286850">
        <w:t>,</w:t>
      </w:r>
      <w:r w:rsidR="00801253">
        <w:t xml:space="preserve"> it would have needed to have allocated the grant in a totally different way</w:t>
      </w:r>
      <w:r w:rsidR="004773E9">
        <w:t>. Care</w:t>
      </w:r>
      <w:r w:rsidR="00801253">
        <w:t xml:space="preserve"> home operators may have received more than the </w:t>
      </w:r>
      <w:r w:rsidR="004773E9">
        <w:t xml:space="preserve">overall </w:t>
      </w:r>
      <w:r w:rsidR="00801253">
        <w:t>1.5% increase (£770</w:t>
      </w:r>
      <w:r w:rsidR="00704A80">
        <w:t>k</w:t>
      </w:r>
      <w:r w:rsidR="00801253">
        <w:t>).</w:t>
      </w:r>
    </w:p>
    <w:p w14:paraId="6C695C67" w14:textId="77777777" w:rsidR="00583E5A" w:rsidRDefault="0018050B" w:rsidP="00583E5A">
      <w:pPr>
        <w:pStyle w:val="ParaLevel1"/>
        <w:tabs>
          <w:tab w:val="clear" w:pos="720"/>
          <w:tab w:val="left" w:pos="567"/>
        </w:tabs>
        <w:ind w:left="567" w:hanging="567"/>
      </w:pPr>
      <w:r>
        <w:t xml:space="preserve">I am unable to accept </w:t>
      </w:r>
      <w:r w:rsidR="00037CE4">
        <w:t>these submissions</w:t>
      </w:r>
      <w:r>
        <w:t>.</w:t>
      </w:r>
      <w:r w:rsidR="00682497">
        <w:t xml:space="preserve"> I will assume for now – in the Claimant’s favour – that </w:t>
      </w:r>
      <w:r w:rsidR="004943EA">
        <w:t xml:space="preserve">grant conditions and non-statutory guidance are, in principle, capable of being a basis for judicial review for </w:t>
      </w:r>
      <w:r w:rsidR="004F7FC3">
        <w:t>material misinterpretation and departure without good reason. Starting from that favourable assumption, the claim cannot succeed. Here are the reasons why.</w:t>
      </w:r>
    </w:p>
    <w:p w14:paraId="0EE716FC" w14:textId="2C3EA351" w:rsidR="00583E5A" w:rsidRDefault="007428E8" w:rsidP="00583E5A">
      <w:pPr>
        <w:pStyle w:val="ParaLevel2"/>
        <w:tabs>
          <w:tab w:val="clear" w:pos="1418"/>
          <w:tab w:val="num" w:pos="1134"/>
        </w:tabs>
        <w:ind w:left="1134" w:hanging="567"/>
      </w:pPr>
      <w:r w:rsidRPr="00583E5A">
        <w:rPr>
          <w:u w:val="single"/>
        </w:rPr>
        <w:t>First</w:t>
      </w:r>
      <w:r>
        <w:t>,</w:t>
      </w:r>
      <w:r w:rsidR="0018050B">
        <w:t xml:space="preserve"> this argument</w:t>
      </w:r>
      <w:r w:rsidR="00686AAA">
        <w:t xml:space="preserve"> </w:t>
      </w:r>
      <w:r w:rsidR="00C900A2">
        <w:t xml:space="preserve">suffers from the same vice as </w:t>
      </w:r>
      <w:r w:rsidR="00811E19">
        <w:t>the argument which fell away (§§</w:t>
      </w:r>
      <w:r w:rsidR="00FD130D">
        <w:t>26-30</w:t>
      </w:r>
      <w:r w:rsidR="00811E19">
        <w:t xml:space="preserve"> above). The MSI Non-Statutory Guidance is amplifying the position</w:t>
      </w:r>
      <w:r w:rsidR="00B850F0">
        <w:t xml:space="preserve"> pursuant to the MSI Fund Grant Conditions. The</w:t>
      </w:r>
      <w:r w:rsidR="00E272A4">
        <w:t xml:space="preserve"> P</w:t>
      </w:r>
      <w:r w:rsidR="008048D0">
        <w:t>ot</w:t>
      </w:r>
      <w:r w:rsidR="00E272A4">
        <w:t xml:space="preserve"> A </w:t>
      </w:r>
      <w:r w:rsidR="00B850F0">
        <w:t>G</w:t>
      </w:r>
      <w:r w:rsidR="008048D0">
        <w:t xml:space="preserve">rant </w:t>
      </w:r>
      <w:r w:rsidR="00B850F0">
        <w:t>C</w:t>
      </w:r>
      <w:r w:rsidR="00E272A4">
        <w:t xml:space="preserve">ondition </w:t>
      </w:r>
      <w:r w:rsidR="0018050B">
        <w:t>speaks of</w:t>
      </w:r>
      <w:r w:rsidR="00E272A4">
        <w:t xml:space="preserve"> the </w:t>
      </w:r>
      <w:r w:rsidR="008048D0">
        <w:t>MS</w:t>
      </w:r>
      <w:r w:rsidR="000416EB">
        <w:t>I</w:t>
      </w:r>
      <w:r w:rsidR="008048D0">
        <w:t xml:space="preserve"> Fund </w:t>
      </w:r>
      <w:r w:rsidR="00E272A4">
        <w:t xml:space="preserve">grant </w:t>
      </w:r>
      <w:r w:rsidR="0018050B">
        <w:t>being</w:t>
      </w:r>
      <w:r w:rsidR="00E272A4">
        <w:t xml:space="preserve"> used</w:t>
      </w:r>
      <w:r w:rsidR="00E117E1">
        <w:t xml:space="preserve"> to continue to support the progress local authorities and providers have already made in 2022-23 on increasing fee rates to move towards </w:t>
      </w:r>
      <w:r w:rsidR="00551795">
        <w:t>“</w:t>
      </w:r>
      <w:r w:rsidR="00E117E1">
        <w:t>paying a fair cost of care</w:t>
      </w:r>
      <w:r w:rsidR="00551795">
        <w:t>”</w:t>
      </w:r>
      <w:r w:rsidR="00E117E1">
        <w:t xml:space="preserve">. </w:t>
      </w:r>
      <w:r w:rsidR="009A2DFF">
        <w:t>I have explained the</w:t>
      </w:r>
      <w:r w:rsidR="008F2ECA">
        <w:t xml:space="preserve"> Government’s 70/30 conclusion</w:t>
      </w:r>
      <w:r w:rsidR="00E117E1">
        <w:t xml:space="preserve"> </w:t>
      </w:r>
      <w:r w:rsidR="000F3BC5">
        <w:t>(that</w:t>
      </w:r>
      <w:r w:rsidR="001F64EF">
        <w:t xml:space="preserve"> 30% of local authorities were already paying fair cost of care</w:t>
      </w:r>
      <w:r w:rsidR="000F3BC5">
        <w:t>) and the Council’s unimpugned</w:t>
      </w:r>
      <w:r w:rsidR="008F2ECA">
        <w:t xml:space="preserve"> self-assess</w:t>
      </w:r>
      <w:r w:rsidR="000F3BC5">
        <w:t>ment (as being</w:t>
      </w:r>
      <w:r w:rsidR="008F2ECA">
        <w:t xml:space="preserve"> within th</w:t>
      </w:r>
      <w:r w:rsidR="000F3BC5">
        <w:t>at</w:t>
      </w:r>
      <w:r w:rsidR="008F2ECA">
        <w:t xml:space="preserve"> 30%</w:t>
      </w:r>
      <w:r w:rsidR="000F3BC5">
        <w:t>).</w:t>
      </w:r>
      <w:r w:rsidR="00D40A7B">
        <w:t xml:space="preserve"> </w:t>
      </w:r>
      <w:r w:rsidR="00CE630C">
        <w:t xml:space="preserve">The premise of the Pot A </w:t>
      </w:r>
      <w:r w:rsidR="00F8000C">
        <w:t>G</w:t>
      </w:r>
      <w:r w:rsidR="00CE630C">
        <w:t xml:space="preserve">rant </w:t>
      </w:r>
      <w:r w:rsidR="00F8000C">
        <w:t>C</w:t>
      </w:r>
      <w:r w:rsidR="00CE630C">
        <w:t xml:space="preserve">ondition </w:t>
      </w:r>
      <w:r w:rsidR="00F8000C">
        <w:t xml:space="preserve">– with its idea of continuity – was </w:t>
      </w:r>
      <w:r w:rsidR="00CE630C">
        <w:t xml:space="preserve">inapplicable </w:t>
      </w:r>
      <w:r w:rsidR="009C6CCA">
        <w:t>to the Council. Neither the</w:t>
      </w:r>
      <w:r w:rsidR="00520EF9">
        <w:t xml:space="preserve"> Pot A </w:t>
      </w:r>
      <w:r w:rsidR="009C6CCA">
        <w:t>Grant C</w:t>
      </w:r>
      <w:r w:rsidR="00520EF9">
        <w:t xml:space="preserve">ondition nor the </w:t>
      </w:r>
      <w:r w:rsidR="00200318">
        <w:t>Pot A MSI Fund N</w:t>
      </w:r>
      <w:r w:rsidR="00520EF9">
        <w:t>on</w:t>
      </w:r>
      <w:r w:rsidR="00200318">
        <w:t>-S</w:t>
      </w:r>
      <w:r w:rsidR="00520EF9">
        <w:t xml:space="preserve">tatutory </w:t>
      </w:r>
      <w:r w:rsidR="00200318">
        <w:t>G</w:t>
      </w:r>
      <w:r w:rsidR="00520EF9">
        <w:t xml:space="preserve">uidance state </w:t>
      </w:r>
      <w:r w:rsidR="00200318">
        <w:t>that Pot A</w:t>
      </w:r>
      <w:r w:rsidR="00520EF9">
        <w:t xml:space="preserve"> </w:t>
      </w:r>
      <w:r w:rsidR="0071095D">
        <w:t>was required to be used to replicate</w:t>
      </w:r>
      <w:r w:rsidR="00520EF9">
        <w:t xml:space="preserve"> whatever was done </w:t>
      </w:r>
      <w:r w:rsidR="0071095D">
        <w:t xml:space="preserve">the previous year </w:t>
      </w:r>
      <w:r w:rsidR="00520EF9">
        <w:t xml:space="preserve">with the MSF </w:t>
      </w:r>
      <w:r w:rsidR="0071095D">
        <w:t>F</w:t>
      </w:r>
      <w:r w:rsidR="00520EF9">
        <w:t>und, including where it was not used to move towards paying a fair cost of care because the local authority using it was already paying fair cost of care.</w:t>
      </w:r>
      <w:r w:rsidR="00ED1A3F">
        <w:t xml:space="preserve"> This </w:t>
      </w:r>
      <w:r w:rsidR="004320F8">
        <w:t>is not a ‘departure’</w:t>
      </w:r>
      <w:r w:rsidR="00ED1A3F">
        <w:t xml:space="preserve"> from the Grant Condition or Non-Statutory Guidance</w:t>
      </w:r>
      <w:r w:rsidR="00355E7B">
        <w:t xml:space="preserve">, because </w:t>
      </w:r>
      <w:r w:rsidR="00F46169">
        <w:t xml:space="preserve">the text </w:t>
      </w:r>
      <w:r w:rsidR="00E31085">
        <w:t xml:space="preserve">of those documents </w:t>
      </w:r>
      <w:r w:rsidR="00F46169">
        <w:t xml:space="preserve">allows the 30% </w:t>
      </w:r>
      <w:r w:rsidR="00E31085">
        <w:t xml:space="preserve">of </w:t>
      </w:r>
      <w:r w:rsidR="00592A7D">
        <w:t xml:space="preserve">local </w:t>
      </w:r>
      <w:r w:rsidR="00E31085">
        <w:t xml:space="preserve">authorities </w:t>
      </w:r>
      <w:r w:rsidR="00F46169">
        <w:t>greater autonomy</w:t>
      </w:r>
      <w:r w:rsidR="00E31085">
        <w:t>. But if it is seen as a departure, there is self-evidently good reason for it. The premise does not apply.</w:t>
      </w:r>
    </w:p>
    <w:p w14:paraId="7D7AF4B6" w14:textId="1C4C8943" w:rsidR="00583E5A" w:rsidRDefault="007428E8" w:rsidP="00583E5A">
      <w:pPr>
        <w:pStyle w:val="ParaLevel2"/>
        <w:tabs>
          <w:tab w:val="clear" w:pos="1418"/>
          <w:tab w:val="num" w:pos="1134"/>
        </w:tabs>
        <w:ind w:left="1134" w:hanging="567"/>
      </w:pPr>
      <w:r w:rsidRPr="00583E5A">
        <w:rPr>
          <w:u w:val="single"/>
        </w:rPr>
        <w:t>Secondly</w:t>
      </w:r>
      <w:r>
        <w:t>,</w:t>
      </w:r>
      <w:r w:rsidR="00D717CF">
        <w:t xml:space="preserve"> the </w:t>
      </w:r>
      <w:r w:rsidR="000E68EF">
        <w:t xml:space="preserve">MSI Non-Statutory Guidance spoke of Pot A as money </w:t>
      </w:r>
      <w:r w:rsidR="00F41498">
        <w:t>to be spent on “</w:t>
      </w:r>
      <w:r w:rsidR="000E68EF">
        <w:t>maintaining previously increased fee rates paid to adult social care providers</w:t>
      </w:r>
      <w:r w:rsidR="00F41498">
        <w:t xml:space="preserve">”, </w:t>
      </w:r>
      <w:r w:rsidR="000E68EF">
        <w:t xml:space="preserve">achieved through sustained fee rate increases </w:t>
      </w:r>
      <w:r w:rsidR="00F41498">
        <w:t>“</w:t>
      </w:r>
      <w:r w:rsidR="000E68EF">
        <w:t>as opposed to non</w:t>
      </w:r>
      <w:r w:rsidR="007576AF">
        <w:t>-</w:t>
      </w:r>
      <w:r w:rsidR="000E68EF">
        <w:t xml:space="preserve">recurrent fee uplifts”. The problem </w:t>
      </w:r>
      <w:r w:rsidR="001D42CE">
        <w:t>with this language – given its ordinary and natural meaning – was that</w:t>
      </w:r>
      <w:r w:rsidR="000E68EF">
        <w:t xml:space="preserve"> t</w:t>
      </w:r>
      <w:r w:rsidR="007576AF">
        <w:t xml:space="preserve">he </w:t>
      </w:r>
      <w:r w:rsidR="001D42CE">
        <w:t xml:space="preserve">Council’s </w:t>
      </w:r>
      <w:r w:rsidR="007576AF">
        <w:t>past use of the</w:t>
      </w:r>
      <w:r w:rsidR="00D717CF">
        <w:t xml:space="preserve"> MSF Fund </w:t>
      </w:r>
      <w:r w:rsidR="007576AF">
        <w:t xml:space="preserve">had </w:t>
      </w:r>
      <w:r w:rsidR="00453A6E">
        <w:t>involve</w:t>
      </w:r>
      <w:r w:rsidR="007576AF">
        <w:t>d</w:t>
      </w:r>
      <w:r w:rsidR="00453A6E">
        <w:t xml:space="preserve"> two time-limited overall fee bumps: one for </w:t>
      </w:r>
      <w:r w:rsidR="007C5F21">
        <w:t xml:space="preserve">the </w:t>
      </w:r>
      <w:r w:rsidR="00453A6E">
        <w:t>home care agencies</w:t>
      </w:r>
      <w:r w:rsidR="009B74BF">
        <w:t xml:space="preserve"> (£175k); </w:t>
      </w:r>
      <w:r w:rsidR="005B26CB">
        <w:t xml:space="preserve">and </w:t>
      </w:r>
      <w:r w:rsidR="009B74BF">
        <w:t xml:space="preserve">the other for </w:t>
      </w:r>
      <w:r w:rsidR="007C5F21">
        <w:t xml:space="preserve">the </w:t>
      </w:r>
      <w:r w:rsidR="009B74BF">
        <w:t>care home operators (£3</w:t>
      </w:r>
      <w:r w:rsidR="00704A80">
        <w:t>3</w:t>
      </w:r>
      <w:r w:rsidR="009B74BF">
        <w:t>0k)</w:t>
      </w:r>
      <w:r w:rsidR="00FA652F">
        <w:t xml:space="preserve">. </w:t>
      </w:r>
      <w:r w:rsidR="005B26CB">
        <w:t>B</w:t>
      </w:r>
      <w:r w:rsidR="00FA652F">
        <w:t xml:space="preserve">y design, </w:t>
      </w:r>
      <w:r w:rsidR="005B26CB">
        <w:t xml:space="preserve">these were </w:t>
      </w:r>
      <w:r w:rsidR="007C5F21">
        <w:t>“</w:t>
      </w:r>
      <w:r w:rsidR="005B26CB">
        <w:t>non-recurrent</w:t>
      </w:r>
      <w:r w:rsidR="007C5F21">
        <w:t>”. They were</w:t>
      </w:r>
      <w:r w:rsidR="00B16465">
        <w:t xml:space="preserve"> a temporary 4 month bump after which</w:t>
      </w:r>
      <w:r w:rsidR="00AA67B6">
        <w:t xml:space="preserve"> fee level</w:t>
      </w:r>
      <w:r w:rsidR="00FA652F">
        <w:t>s</w:t>
      </w:r>
      <w:r w:rsidR="00AA67B6">
        <w:t xml:space="preserve"> reverted to </w:t>
      </w:r>
      <w:r w:rsidR="00FA652F">
        <w:t xml:space="preserve">their </w:t>
      </w:r>
      <w:r w:rsidR="00AA67B6">
        <w:t>previous level.</w:t>
      </w:r>
      <w:r w:rsidR="000E3FD1">
        <w:t xml:space="preserve"> This contra-indicated the </w:t>
      </w:r>
      <w:r w:rsidR="007A10FD">
        <w:t>position for which Mr Buttler KC contends: a re-run from Pot A of an allocation of £3</w:t>
      </w:r>
      <w:r w:rsidR="00704A80">
        <w:t>3</w:t>
      </w:r>
      <w:r w:rsidR="007A10FD">
        <w:t>0k for care homes.</w:t>
      </w:r>
    </w:p>
    <w:p w14:paraId="3961B038" w14:textId="77777777" w:rsidR="00583E5A" w:rsidRDefault="007428E8" w:rsidP="00583E5A">
      <w:pPr>
        <w:pStyle w:val="ParaLevel2"/>
        <w:tabs>
          <w:tab w:val="clear" w:pos="1418"/>
          <w:tab w:val="num" w:pos="1134"/>
        </w:tabs>
        <w:ind w:left="1134" w:hanging="567"/>
      </w:pPr>
      <w:r w:rsidRPr="00583E5A">
        <w:rPr>
          <w:u w:val="single"/>
        </w:rPr>
        <w:t>Thirdly</w:t>
      </w:r>
      <w:r>
        <w:t xml:space="preserve">, the </w:t>
      </w:r>
      <w:r w:rsidR="00D07230">
        <w:t>MSI G</w:t>
      </w:r>
      <w:r>
        <w:t xml:space="preserve">rant </w:t>
      </w:r>
      <w:r w:rsidR="00D07230">
        <w:t>C</w:t>
      </w:r>
      <w:r>
        <w:t xml:space="preserve">ondition </w:t>
      </w:r>
      <w:r w:rsidR="00A917BB">
        <w:t xml:space="preserve">for Pot B </w:t>
      </w:r>
      <w:r w:rsidR="00D07230">
        <w:t>spoke of</w:t>
      </w:r>
      <w:r>
        <w:t xml:space="preserve"> </w:t>
      </w:r>
      <w:r w:rsidR="00A917BB">
        <w:t>it as</w:t>
      </w:r>
      <w:r>
        <w:t xml:space="preserve"> to be used to make improvements in at least one of the “target areas”</w:t>
      </w:r>
      <w:r w:rsidR="00D07230">
        <w:t>. These included</w:t>
      </w:r>
      <w:r>
        <w:t xml:space="preserve"> “increasing fee rates” paid to adult social care providers in local areas. Th</w:t>
      </w:r>
      <w:r w:rsidR="00F639D4">
        <w:t xml:space="preserve">e ordinary and natural meaning of those words </w:t>
      </w:r>
      <w:r w:rsidR="00A546DC">
        <w:t>includes</w:t>
      </w:r>
      <w:r>
        <w:t xml:space="preserve"> </w:t>
      </w:r>
      <w:r w:rsidR="00F639D4">
        <w:t xml:space="preserve">funding to </w:t>
      </w:r>
      <w:r>
        <w:t>increase fee rates for care homes. Similarly, the MSI Non-Statutory Guidance describe</w:t>
      </w:r>
      <w:r w:rsidR="00E01CC3">
        <w:t>d</w:t>
      </w:r>
      <w:r>
        <w:t xml:space="preserve"> Pot A as available to pay increased fee rates to adult social care provided in local areas, </w:t>
      </w:r>
      <w:r w:rsidR="00E01CC3">
        <w:t>including</w:t>
      </w:r>
      <w:r>
        <w:t xml:space="preserve"> care homes.</w:t>
      </w:r>
      <w:r w:rsidR="00E01CC3">
        <w:t xml:space="preserve"> This means that </w:t>
      </w:r>
      <w:r w:rsidR="00297121">
        <w:t>a fee increase for care homes was – in principle – within the described scope of Pot B.</w:t>
      </w:r>
    </w:p>
    <w:p w14:paraId="6EE22C61" w14:textId="77777777" w:rsidR="00583E5A" w:rsidRDefault="007428E8" w:rsidP="00583E5A">
      <w:pPr>
        <w:pStyle w:val="ParaLevel2"/>
        <w:tabs>
          <w:tab w:val="clear" w:pos="1418"/>
          <w:tab w:val="num" w:pos="1134"/>
        </w:tabs>
        <w:ind w:left="1134" w:hanging="567"/>
      </w:pPr>
      <w:r w:rsidRPr="00583E5A">
        <w:rPr>
          <w:u w:val="single"/>
        </w:rPr>
        <w:t>Fourthly</w:t>
      </w:r>
      <w:r>
        <w:t>, i</w:t>
      </w:r>
      <w:r w:rsidR="00E972ED">
        <w:t>n</w:t>
      </w:r>
      <w:r w:rsidR="00497A56">
        <w:t xml:space="preserve"> light of </w:t>
      </w:r>
      <w:r w:rsidR="00760C6C">
        <w:t xml:space="preserve">all </w:t>
      </w:r>
      <w:r w:rsidR="00497A56">
        <w:t>the</w:t>
      </w:r>
      <w:r w:rsidR="00E972ED">
        <w:t>se points,</w:t>
      </w:r>
      <w:r w:rsidR="00497A56">
        <w:t xml:space="preserve"> the language of the </w:t>
      </w:r>
      <w:r w:rsidR="00760C6C">
        <w:t>G</w:t>
      </w:r>
      <w:r w:rsidR="00497A56">
        <w:t xml:space="preserve">rant </w:t>
      </w:r>
      <w:r w:rsidR="00760C6C">
        <w:t>C</w:t>
      </w:r>
      <w:r w:rsidR="00497A56">
        <w:t xml:space="preserve">onditions and the </w:t>
      </w:r>
      <w:r w:rsidR="00EC6B96">
        <w:t xml:space="preserve">MSI Non-Statutory Guidance called for an evaluative judgment. </w:t>
      </w:r>
      <w:r w:rsidR="00FC7B2D">
        <w:t xml:space="preserve">As Mr Buttler KC put it in his skeleton argument, </w:t>
      </w:r>
      <w:r w:rsidR="006B1EFB">
        <w:t xml:space="preserve">it was a question of reading the Guidance in a sensible way that gave effect to </w:t>
      </w:r>
      <w:r w:rsidR="00760C6C">
        <w:t>the G</w:t>
      </w:r>
      <w:r w:rsidR="006B1EFB">
        <w:t>o</w:t>
      </w:r>
      <w:r w:rsidR="006B1EFB" w:rsidRPr="003F56B3">
        <w:t>vernment</w:t>
      </w:r>
      <w:r w:rsidR="00760C6C" w:rsidRPr="003F56B3">
        <w:t>’</w:t>
      </w:r>
      <w:r w:rsidR="006B1EFB" w:rsidRPr="003F56B3">
        <w:t xml:space="preserve">s intention. There </w:t>
      </w:r>
      <w:r w:rsidR="00FF5C7F" w:rsidRPr="003F56B3">
        <w:t>was</w:t>
      </w:r>
      <w:r w:rsidR="006B1EFB" w:rsidRPr="003F56B3">
        <w:t xml:space="preserve"> no objectively correct interpretation which requ</w:t>
      </w:r>
      <w:r w:rsidR="006B1EFB">
        <w:t xml:space="preserve">ired the </w:t>
      </w:r>
      <w:r w:rsidR="00EF246C">
        <w:t>‘</w:t>
      </w:r>
      <w:r w:rsidR="006B1EFB">
        <w:t>replication</w:t>
      </w:r>
      <w:r w:rsidR="00EF246C">
        <w:t>’</w:t>
      </w:r>
      <w:r w:rsidR="006B1EFB">
        <w:t xml:space="preserve"> of £330k funding for care homes from Pot A; nor the </w:t>
      </w:r>
      <w:r w:rsidR="00EF246C">
        <w:t>‘</w:t>
      </w:r>
      <w:r w:rsidR="006B1EFB">
        <w:t>replication</w:t>
      </w:r>
      <w:r w:rsidR="00EF246C">
        <w:t>’</w:t>
      </w:r>
      <w:r w:rsidR="006B1EFB">
        <w:t xml:space="preserve"> of £175k funding for home-care agencies. </w:t>
      </w:r>
      <w:r w:rsidR="00EF246C">
        <w:t xml:space="preserve">Nor, in context, would such rigidity make sense. </w:t>
      </w:r>
      <w:r w:rsidR="006B1EFB">
        <w:t xml:space="preserve">In public law terms, this was </w:t>
      </w:r>
      <w:r w:rsidR="00244E9A">
        <w:t>ultimately</w:t>
      </w:r>
      <w:r w:rsidR="006B1EFB">
        <w:t xml:space="preserve"> an evaluative judgment in </w:t>
      </w:r>
      <w:r w:rsidR="00FB0519">
        <w:t>seeking to apply</w:t>
      </w:r>
      <w:r w:rsidR="006B1EFB">
        <w:t xml:space="preserve"> criteria</w:t>
      </w:r>
      <w:r w:rsidR="00FB0519">
        <w:t xml:space="preserve"> and broad guidance.</w:t>
      </w:r>
    </w:p>
    <w:p w14:paraId="08079420" w14:textId="7815942B" w:rsidR="00BF5668" w:rsidRDefault="00B027E6" w:rsidP="00583E5A">
      <w:pPr>
        <w:pStyle w:val="ParaLevel2"/>
        <w:tabs>
          <w:tab w:val="clear" w:pos="1418"/>
          <w:tab w:val="num" w:pos="1134"/>
        </w:tabs>
        <w:ind w:left="1134" w:hanging="567"/>
      </w:pPr>
      <w:r w:rsidRPr="00583E5A">
        <w:rPr>
          <w:u w:val="single"/>
        </w:rPr>
        <w:t>Fifthly</w:t>
      </w:r>
      <w:r>
        <w:t xml:space="preserve">, </w:t>
      </w:r>
      <w:r w:rsidR="000C6FFB">
        <w:t xml:space="preserve">the Council’s May 2023 Grant Allocation Decision </w:t>
      </w:r>
      <w:r w:rsidR="00D844E8">
        <w:t>involved such an</w:t>
      </w:r>
      <w:r w:rsidR="000C6FFB">
        <w:t xml:space="preserve"> evaluative judgment</w:t>
      </w:r>
      <w:r w:rsidR="00FB0519">
        <w:t xml:space="preserve">, </w:t>
      </w:r>
      <w:r w:rsidR="00D844E8">
        <w:t xml:space="preserve">and no misinterpretation. </w:t>
      </w:r>
      <w:r w:rsidR="00E64347" w:rsidRPr="00B027E6">
        <w:t>W</w:t>
      </w:r>
      <w:r w:rsidR="00E3140A" w:rsidRPr="00B027E6">
        <w:t>hen</w:t>
      </w:r>
      <w:r w:rsidR="00E3140A">
        <w:t xml:space="preserve"> the Cabinet </w:t>
      </w:r>
      <w:r>
        <w:t>R</w:t>
      </w:r>
      <w:r w:rsidR="00E3140A">
        <w:t>eport was written</w:t>
      </w:r>
      <w:r w:rsidR="00F5154D">
        <w:t>,</w:t>
      </w:r>
      <w:r w:rsidR="00E3140A">
        <w:t xml:space="preserve"> making the recommendation</w:t>
      </w:r>
      <w:r w:rsidR="005D6218">
        <w:t xml:space="preserve"> which the </w:t>
      </w:r>
      <w:r w:rsidR="00F5154D">
        <w:t>C</w:t>
      </w:r>
      <w:r w:rsidR="005D6218">
        <w:t xml:space="preserve">ouncil accepted </w:t>
      </w:r>
      <w:r w:rsidR="007162FC">
        <w:t>(9.5.23)</w:t>
      </w:r>
      <w:r w:rsidR="005D6218">
        <w:t xml:space="preserve">, the writer was grappling with </w:t>
      </w:r>
      <w:r w:rsidR="00244F18">
        <w:t>the MSI Grant Conditions and Non-Statutory Guidance</w:t>
      </w:r>
      <w:r w:rsidR="005D6218">
        <w:t>.</w:t>
      </w:r>
      <w:r w:rsidR="00327BFC">
        <w:t xml:space="preserve"> Cabinet members were told</w:t>
      </w:r>
      <w:r w:rsidR="001E4B58">
        <w:t xml:space="preserve"> </w:t>
      </w:r>
      <w:r w:rsidR="00244F18">
        <w:t xml:space="preserve">in the Report </w:t>
      </w:r>
      <w:r w:rsidR="001E4B58">
        <w:t>that the fair cost of care survey for the MSF fund had not demonstrated any gap in terms of paying fair cost of care as defined;</w:t>
      </w:r>
      <w:r w:rsidR="007160B1">
        <w:t xml:space="preserve"> </w:t>
      </w:r>
      <w:r w:rsidR="00B85072">
        <w:t>that what</w:t>
      </w:r>
      <w:r w:rsidR="007160B1">
        <w:t xml:space="preserve"> had been identified was a likely understatement in terms of inflationary cost increases relating to energy</w:t>
      </w:r>
      <w:r w:rsidR="00B85072">
        <w:t>,</w:t>
      </w:r>
      <w:r w:rsidR="007160B1">
        <w:t xml:space="preserve"> food and insurance costs</w:t>
      </w:r>
      <w:r w:rsidR="00B85072">
        <w:t>; that the</w:t>
      </w:r>
      <w:r w:rsidR="0066403F">
        <w:t xml:space="preserve"> MSI Fund</w:t>
      </w:r>
      <w:r w:rsidR="00D36EE8">
        <w:t xml:space="preserve"> now provided an opportunity to introduce a one-year increase in recognition of the likelihood that many </w:t>
      </w:r>
      <w:r w:rsidR="00E41968">
        <w:t xml:space="preserve">care </w:t>
      </w:r>
      <w:r w:rsidR="00D36EE8">
        <w:t xml:space="preserve">homes </w:t>
      </w:r>
      <w:r w:rsidR="00E41968">
        <w:t>were</w:t>
      </w:r>
      <w:r w:rsidR="00D36EE8">
        <w:t xml:space="preserve"> facing some financial pressure because of the specific balance of cost which they incur</w:t>
      </w:r>
      <w:r w:rsidR="00E41968">
        <w:t>;</w:t>
      </w:r>
      <w:r w:rsidR="00D36EE8">
        <w:t xml:space="preserve"> and that an </w:t>
      </w:r>
      <w:r w:rsidR="00E41968">
        <w:t xml:space="preserve">overall </w:t>
      </w:r>
      <w:r w:rsidR="00D36EE8">
        <w:t>increase of 1.5% was proposed.</w:t>
      </w:r>
      <w:r w:rsidR="00A646E5">
        <w:t xml:space="preserve"> </w:t>
      </w:r>
      <w:r w:rsidR="00DA0F44">
        <w:t>Within the Report, there was a footnote which grappled</w:t>
      </w:r>
      <w:r w:rsidR="00A646E5">
        <w:t xml:space="preserve"> with the </w:t>
      </w:r>
      <w:r w:rsidR="00DA0F44">
        <w:t>MSI G</w:t>
      </w:r>
      <w:r w:rsidR="00A646E5">
        <w:t xml:space="preserve">rant </w:t>
      </w:r>
      <w:r w:rsidR="00DA0F44">
        <w:t>C</w:t>
      </w:r>
      <w:r w:rsidR="00A646E5">
        <w:t xml:space="preserve">onditions and </w:t>
      </w:r>
      <w:r w:rsidR="00085A66">
        <w:t>MSI N</w:t>
      </w:r>
      <w:r w:rsidR="00A646E5">
        <w:t>on</w:t>
      </w:r>
      <w:r w:rsidR="00085A66">
        <w:t>-S</w:t>
      </w:r>
      <w:r w:rsidR="00A646E5">
        <w:t xml:space="preserve">tatutory </w:t>
      </w:r>
      <w:r w:rsidR="00085A66">
        <w:t>G</w:t>
      </w:r>
      <w:r w:rsidR="00A646E5">
        <w:t>uidance</w:t>
      </w:r>
      <w:r w:rsidR="00F263A7">
        <w:t>. Within it, these</w:t>
      </w:r>
      <w:r w:rsidR="00A646E5">
        <w:t xml:space="preserve"> points </w:t>
      </w:r>
      <w:r w:rsidR="00D83F44">
        <w:t xml:space="preserve">were </w:t>
      </w:r>
      <w:r w:rsidR="00A646E5">
        <w:t>made</w:t>
      </w:r>
      <w:r w:rsidR="00D83F44">
        <w:t>:</w:t>
      </w:r>
      <w:r w:rsidR="00495D70">
        <w:t xml:space="preserve"> </w:t>
      </w:r>
      <w:r w:rsidR="00F263A7">
        <w:t xml:space="preserve">(i) </w:t>
      </w:r>
      <w:r w:rsidR="00495D70">
        <w:t>that P</w:t>
      </w:r>
      <w:r w:rsidR="00085A66">
        <w:t>ot</w:t>
      </w:r>
      <w:r w:rsidR="00495D70">
        <w:t xml:space="preserve"> A was described in terms of maintaining increased fee rates for those </w:t>
      </w:r>
      <w:r w:rsidR="00F263A7">
        <w:t xml:space="preserve">authorities </w:t>
      </w:r>
      <w:r w:rsidR="00495D70">
        <w:t>moving towards a fair cost of care</w:t>
      </w:r>
      <w:r w:rsidR="00085A66">
        <w:t xml:space="preserve">; </w:t>
      </w:r>
      <w:r w:rsidR="00F263A7">
        <w:t xml:space="preserve">(ii) </w:t>
      </w:r>
      <w:r w:rsidR="00085A66">
        <w:t>that</w:t>
      </w:r>
      <w:r w:rsidR="00D83F44">
        <w:t xml:space="preserve"> Pot A was said to be to maintain</w:t>
      </w:r>
      <w:r w:rsidR="00B641BB">
        <w:t xml:space="preserve"> sustained fee rate increases as opposed to </w:t>
      </w:r>
      <w:r w:rsidR="00F263A7">
        <w:t>“</w:t>
      </w:r>
      <w:r w:rsidR="00B641BB">
        <w:t>non</w:t>
      </w:r>
      <w:r w:rsidR="00D83F44">
        <w:t>-</w:t>
      </w:r>
      <w:r w:rsidR="00B641BB">
        <w:t>recurrent</w:t>
      </w:r>
      <w:r w:rsidR="00F263A7">
        <w:t>”</w:t>
      </w:r>
      <w:r w:rsidR="00B641BB">
        <w:t xml:space="preserve"> fee uplifts</w:t>
      </w:r>
      <w:r w:rsidR="00D83F44">
        <w:t>;</w:t>
      </w:r>
      <w:r w:rsidR="00B641BB">
        <w:t xml:space="preserve"> </w:t>
      </w:r>
      <w:r w:rsidR="00864F40">
        <w:t xml:space="preserve">and </w:t>
      </w:r>
      <w:r w:rsidR="00F263A7">
        <w:t xml:space="preserve">(iii) </w:t>
      </w:r>
      <w:r w:rsidR="00D83F44">
        <w:t>that this</w:t>
      </w:r>
      <w:r w:rsidR="00B641BB">
        <w:t xml:space="preserve"> </w:t>
      </w:r>
      <w:r w:rsidR="0068068E">
        <w:t xml:space="preserve">description </w:t>
      </w:r>
      <w:r w:rsidR="00B641BB">
        <w:t xml:space="preserve">was problematic </w:t>
      </w:r>
      <w:r w:rsidR="0068068E">
        <w:t>regarding</w:t>
      </w:r>
      <w:r w:rsidR="00B641BB">
        <w:t xml:space="preserve"> the </w:t>
      </w:r>
      <w:r w:rsidR="0068068E">
        <w:t xml:space="preserve">temporary </w:t>
      </w:r>
      <w:r w:rsidR="00B641BB">
        <w:t>2.45%</w:t>
      </w:r>
      <w:r w:rsidR="0068068E">
        <w:t xml:space="preserve"> </w:t>
      </w:r>
      <w:r w:rsidR="00B641BB">
        <w:t>increase</w:t>
      </w:r>
      <w:r w:rsidR="000B00F8">
        <w:t xml:space="preserve"> applied</w:t>
      </w:r>
      <w:r w:rsidR="00B641BB">
        <w:t xml:space="preserve"> during the </w:t>
      </w:r>
      <w:r w:rsidR="00D83F44">
        <w:t>second</w:t>
      </w:r>
      <w:r w:rsidR="00B641BB">
        <w:t xml:space="preserve"> half of </w:t>
      </w:r>
      <w:r w:rsidR="00D83F44">
        <w:t>Year 2</w:t>
      </w:r>
      <w:r w:rsidR="00864F40">
        <w:t>. It was</w:t>
      </w:r>
      <w:r w:rsidR="005C5D21">
        <w:t xml:space="preserve"> therefore recommended </w:t>
      </w:r>
      <w:r w:rsidR="003F3AC7">
        <w:t xml:space="preserve">to Cabinet </w:t>
      </w:r>
      <w:r w:rsidR="005C5D21">
        <w:t xml:space="preserve">that </w:t>
      </w:r>
      <w:r w:rsidR="003F3AC7">
        <w:t>Pot A be used for</w:t>
      </w:r>
      <w:r w:rsidR="008F1769">
        <w:t xml:space="preserve"> </w:t>
      </w:r>
      <w:r w:rsidR="000B00F8">
        <w:t xml:space="preserve">other </w:t>
      </w:r>
      <w:r w:rsidR="008F1769">
        <w:t xml:space="preserve">proposed funding relating </w:t>
      </w:r>
      <w:r w:rsidR="000F5594">
        <w:t xml:space="preserve">(£620k) for the </w:t>
      </w:r>
      <w:r w:rsidR="00D109FF">
        <w:t>home-care mileage support scheme</w:t>
      </w:r>
      <w:r w:rsidR="00EF7C24">
        <w:t xml:space="preserve"> (£275k having been allocated from the MSF Fund grant for a mileage scheme</w:t>
      </w:r>
      <w:r w:rsidR="000F5594">
        <w:t>)</w:t>
      </w:r>
      <w:r w:rsidR="00EF7C24">
        <w:t xml:space="preserve"> </w:t>
      </w:r>
      <w:r w:rsidR="00D109FF">
        <w:t xml:space="preserve">and </w:t>
      </w:r>
      <w:r w:rsidR="00B21E7E">
        <w:t xml:space="preserve">part of the funding for </w:t>
      </w:r>
      <w:r w:rsidR="00D109FF">
        <w:t>an increase to</w:t>
      </w:r>
      <w:r w:rsidR="00831EEF">
        <w:t xml:space="preserve"> a wage</w:t>
      </w:r>
      <w:r w:rsidR="00D109FF">
        <w:t xml:space="preserve"> support scheme for home carers </w:t>
      </w:r>
      <w:r w:rsidR="00831EEF">
        <w:t>(£1.5m)</w:t>
      </w:r>
      <w:r w:rsidR="00B21E7E">
        <w:t>. The remainder of that funding, and the</w:t>
      </w:r>
      <w:r w:rsidR="00BF5668">
        <w:t xml:space="preserve"> £770</w:t>
      </w:r>
      <w:r w:rsidR="00B21E7E">
        <w:t>k</w:t>
      </w:r>
      <w:r w:rsidR="00BF5668">
        <w:t xml:space="preserve"> for the one year </w:t>
      </w:r>
      <w:r w:rsidR="00A53759">
        <w:t xml:space="preserve">overall </w:t>
      </w:r>
      <w:r w:rsidR="00BF5668">
        <w:t xml:space="preserve">fee increase of 1.5% for care homes was allocated to </w:t>
      </w:r>
      <w:r w:rsidR="00A53759">
        <w:t xml:space="preserve">come from </w:t>
      </w:r>
      <w:r w:rsidR="00BF5668">
        <w:t>Pot B.</w:t>
      </w:r>
      <w:r w:rsidR="0008707E">
        <w:t xml:space="preserve"> There was no</w:t>
      </w:r>
      <w:r w:rsidR="00CA5351">
        <w:t xml:space="preserve"> material misapprehension </w:t>
      </w:r>
      <w:r w:rsidR="00261CAE">
        <w:t>in this careful reasoning</w:t>
      </w:r>
      <w:r w:rsidR="00A53759">
        <w:t xml:space="preserve">, whether </w:t>
      </w:r>
      <w:r w:rsidR="00CA5351">
        <w:t xml:space="preserve">as to the </w:t>
      </w:r>
      <w:r w:rsidR="00A53759">
        <w:t>MSI G</w:t>
      </w:r>
      <w:r w:rsidR="00CA5351">
        <w:t xml:space="preserve">rant </w:t>
      </w:r>
      <w:r w:rsidR="00A53759">
        <w:t>C</w:t>
      </w:r>
      <w:r w:rsidR="00CA5351">
        <w:t xml:space="preserve">onditions or as to the </w:t>
      </w:r>
      <w:r w:rsidR="00520EF5">
        <w:t>MSI N</w:t>
      </w:r>
      <w:r w:rsidR="00CA5351">
        <w:t>on-</w:t>
      </w:r>
      <w:r w:rsidR="00520EF5">
        <w:t>S</w:t>
      </w:r>
      <w:r w:rsidR="00CA5351">
        <w:t xml:space="preserve">tatutory </w:t>
      </w:r>
      <w:r w:rsidR="00520EF5">
        <w:t>G</w:t>
      </w:r>
      <w:r w:rsidR="00CA5351">
        <w:t>uidance.</w:t>
      </w:r>
    </w:p>
    <w:p w14:paraId="7744F995" w14:textId="30B47DE7" w:rsidR="007F6D8F" w:rsidRDefault="009F6AC2" w:rsidP="007F6D8F">
      <w:pPr>
        <w:pStyle w:val="ParaLevel1"/>
        <w:numPr>
          <w:ilvl w:val="0"/>
          <w:numId w:val="0"/>
        </w:numPr>
        <w:tabs>
          <w:tab w:val="left" w:pos="567"/>
        </w:tabs>
      </w:pPr>
      <w:r>
        <w:rPr>
          <w:u w:val="single"/>
        </w:rPr>
        <w:t>Common Law Materiality</w:t>
      </w:r>
    </w:p>
    <w:p w14:paraId="03219155" w14:textId="5F63314F" w:rsidR="00C74AA4" w:rsidRDefault="007F6D8F" w:rsidP="00F84AC0">
      <w:pPr>
        <w:pStyle w:val="ParaLevel1"/>
        <w:tabs>
          <w:tab w:val="clear" w:pos="720"/>
          <w:tab w:val="left" w:pos="567"/>
        </w:tabs>
        <w:ind w:left="567" w:hanging="567"/>
      </w:pPr>
      <w:r>
        <w:t xml:space="preserve">Even if </w:t>
      </w:r>
      <w:r w:rsidR="00341BC5">
        <w:t xml:space="preserve">Mr Buttler KC were right about </w:t>
      </w:r>
      <w:r w:rsidR="003B1E4D">
        <w:t>the legally correct interpretation of the MSI Fund Grant Conditions or MSI Non-Statutory Guidance</w:t>
      </w:r>
      <w:r w:rsidR="00341BC5">
        <w:t xml:space="preserve">, this is in my judgment a clear case where </w:t>
      </w:r>
      <w:r w:rsidR="00E47967">
        <w:t xml:space="preserve">the common law principle of materiality </w:t>
      </w:r>
      <w:r w:rsidR="009F6AC2">
        <w:t xml:space="preserve">defeats the claim. </w:t>
      </w:r>
      <w:r w:rsidR="004479BF">
        <w:t xml:space="preserve">This could not have been a permission-stage conclusion: </w:t>
      </w:r>
      <w:r w:rsidR="00F84AC0">
        <w:t>it arises as a clear picture from the full, substantive argument. It is</w:t>
      </w:r>
      <w:r w:rsidR="009F6AC2">
        <w:t xml:space="preserve"> not, in my judgment, about the discretion to refuse a remedy. It is about the absence of any public law flaw. </w:t>
      </w:r>
      <w:r w:rsidR="00601D13">
        <w:t>There is no material misinterpretation, because the Court is satisfied – the onus being on the defendant public authority – that the decision would inevitably have been the same.</w:t>
      </w:r>
      <w:r w:rsidR="00D72A39">
        <w:t xml:space="preserve"> Suppose </w:t>
      </w:r>
      <w:r w:rsidR="006D2EE2">
        <w:t xml:space="preserve">an objectively correct interpretation of the </w:t>
      </w:r>
      <w:r w:rsidR="00D72A39">
        <w:t>G</w:t>
      </w:r>
      <w:r w:rsidR="006D2EE2">
        <w:t xml:space="preserve">rant </w:t>
      </w:r>
      <w:r w:rsidR="00D72A39">
        <w:t>C</w:t>
      </w:r>
      <w:r w:rsidR="006D2EE2">
        <w:t xml:space="preserve">onditions or the MSI Non-Statutory Guidance which </w:t>
      </w:r>
      <w:r w:rsidR="00EE2150">
        <w:t xml:space="preserve">required £330k to be spent </w:t>
      </w:r>
      <w:r w:rsidR="00CB4FEA">
        <w:t xml:space="preserve">from Pot A </w:t>
      </w:r>
      <w:r w:rsidR="00D72A39">
        <w:t>for</w:t>
      </w:r>
      <w:r w:rsidR="00EE2150">
        <w:t xml:space="preserve"> Year 3 on a fee rate uplift for care home fees</w:t>
      </w:r>
      <w:r w:rsidR="00D72A39">
        <w:t>. It is</w:t>
      </w:r>
      <w:r w:rsidR="00CB4FEA">
        <w:t xml:space="preserve"> inevitable that the outcome for care homes would have been the same 1.5%</w:t>
      </w:r>
      <w:r w:rsidR="00182932">
        <w:t xml:space="preserve"> uplift (£770k) that was allocated from the MSI Fund grant. The reasons are straightforward. </w:t>
      </w:r>
      <w:r w:rsidR="00B50C7A">
        <w:t xml:space="preserve">The Council </w:t>
      </w:r>
      <w:r w:rsidR="008259EE">
        <w:t xml:space="preserve">plainly </w:t>
      </w:r>
      <w:r w:rsidR="00B50C7A">
        <w:t xml:space="preserve">decided that the right thing to do was to allocate </w:t>
      </w:r>
      <w:r w:rsidR="008259EE">
        <w:t>a 1.5% uplift (</w:t>
      </w:r>
      <w:r w:rsidR="00B50C7A">
        <w:t>£770k</w:t>
      </w:r>
      <w:r w:rsidR="008259EE">
        <w:t>)</w:t>
      </w:r>
      <w:r w:rsidR="00B50C7A">
        <w:t xml:space="preserve">. That is more than </w:t>
      </w:r>
      <w:r w:rsidR="00E67460">
        <w:t xml:space="preserve">a ‘replication’ of </w:t>
      </w:r>
      <w:r w:rsidR="00B50C7A">
        <w:t>£330k.</w:t>
      </w:r>
      <w:r w:rsidR="00E12BA5">
        <w:t xml:space="preserve"> The Council would have found £770k from </w:t>
      </w:r>
      <w:r w:rsidR="00EF7D24">
        <w:t>Pot A</w:t>
      </w:r>
      <w:r w:rsidR="00E67460">
        <w:t>. Or it would have found</w:t>
      </w:r>
      <w:r w:rsidR="00EF7D24">
        <w:t xml:space="preserve"> £330k from Pot A and £440k from Pot B.</w:t>
      </w:r>
      <w:r w:rsidR="00F6275F">
        <w:t xml:space="preserve"> The care homes would not have done better than the 1.5% overall increase (£770k). </w:t>
      </w:r>
      <w:r w:rsidR="00CF7D82">
        <w:t>This</w:t>
      </w:r>
      <w:r w:rsidR="009A0348">
        <w:t xml:space="preserve"> </w:t>
      </w:r>
      <w:r w:rsidR="00CF7D82">
        <w:t xml:space="preserve">is </w:t>
      </w:r>
      <w:r w:rsidR="009A0348">
        <w:t>obvious, and inevitable, based on the Council’s contemporaneous reasoning and thinking, refl</w:t>
      </w:r>
      <w:r w:rsidR="00CF7D82">
        <w:t>e</w:t>
      </w:r>
      <w:r w:rsidR="009A0348">
        <w:t>cted in the do</w:t>
      </w:r>
      <w:r w:rsidR="00CF7D82">
        <w:t>cuments. It is not a function of witness statement evidence filed in the proceedings, though there are such witness statements before the Court.</w:t>
      </w:r>
    </w:p>
    <w:p w14:paraId="4E11535F" w14:textId="64678AEC" w:rsidR="00BE7096" w:rsidRPr="00C74AA4" w:rsidRDefault="00C74AA4" w:rsidP="00C74AA4">
      <w:pPr>
        <w:pStyle w:val="ParaLevel1"/>
        <w:numPr>
          <w:ilvl w:val="0"/>
          <w:numId w:val="0"/>
        </w:numPr>
        <w:tabs>
          <w:tab w:val="left" w:pos="567"/>
        </w:tabs>
        <w:rPr>
          <w:u w:val="single"/>
        </w:rPr>
      </w:pPr>
      <w:r w:rsidRPr="00C74AA4">
        <w:rPr>
          <w:u w:val="single"/>
        </w:rPr>
        <w:t>The Statutory Materiality Overlay</w:t>
      </w:r>
      <w:r w:rsidR="0023422D">
        <w:rPr>
          <w:u w:val="single"/>
        </w:rPr>
        <w:t xml:space="preserve"> (HL:NSD)</w:t>
      </w:r>
    </w:p>
    <w:p w14:paraId="46E35F02" w14:textId="1A51DA9B" w:rsidR="002D73AC" w:rsidRDefault="00954052" w:rsidP="002D73AC">
      <w:pPr>
        <w:pStyle w:val="ParaLevel1"/>
        <w:tabs>
          <w:tab w:val="clear" w:pos="720"/>
          <w:tab w:val="left" w:pos="567"/>
        </w:tabs>
        <w:ind w:left="567" w:hanging="567"/>
      </w:pPr>
      <w:r>
        <w:t xml:space="preserve">For the same reasons, had it arisen, I would have found </w:t>
      </w:r>
      <w:r w:rsidR="00F84AC0">
        <w:t xml:space="preserve">– at the substantive stage of remedy – that </w:t>
      </w:r>
      <w:r>
        <w:t>this is one of those cases where it is “highly” likely that the “outcome” would not have been substantially different.</w:t>
      </w:r>
      <w:r w:rsidR="002D73AC">
        <w:t xml:space="preserve"> </w:t>
      </w:r>
      <w:r w:rsidR="00335FBB">
        <w:t>But c</w:t>
      </w:r>
      <w:r w:rsidR="0023422D">
        <w:t>onversely, h</w:t>
      </w:r>
      <w:r w:rsidR="002D73AC">
        <w:t xml:space="preserve">ad I concluded that there was no clear-cut inevitability about the outcome, </w:t>
      </w:r>
      <w:r w:rsidR="004B76A6">
        <w:t>I do not think I could then have arrived at a conclusion that the outcome was</w:t>
      </w:r>
      <w:r w:rsidR="002D73AC">
        <w:t xml:space="preserve"> </w:t>
      </w:r>
      <w:r w:rsidR="00605460">
        <w:t>“</w:t>
      </w:r>
      <w:r w:rsidR="002D73AC">
        <w:t>highly likely</w:t>
      </w:r>
      <w:r w:rsidR="00605460">
        <w:t>”</w:t>
      </w:r>
      <w:r w:rsidR="002D73AC">
        <w:t xml:space="preserve">. </w:t>
      </w:r>
      <w:r w:rsidR="004B76A6">
        <w:t>That is because the self-same</w:t>
      </w:r>
      <w:r w:rsidR="00E00E49">
        <w:t xml:space="preserve"> considerations which stood in the way of </w:t>
      </w:r>
      <w:r w:rsidR="00D43806">
        <w:t xml:space="preserve">a conclusion of </w:t>
      </w:r>
      <w:r w:rsidR="00E00E49">
        <w:t>common law</w:t>
      </w:r>
      <w:r w:rsidR="002D73AC">
        <w:t xml:space="preserve"> inevitability </w:t>
      </w:r>
      <w:r w:rsidR="00EA7B66">
        <w:t xml:space="preserve">would have </w:t>
      </w:r>
      <w:r w:rsidR="002D73AC">
        <w:t>put me into the realms of uncertain</w:t>
      </w:r>
      <w:r w:rsidR="00EA7B66">
        <w:t xml:space="preserve">ty, such that the </w:t>
      </w:r>
      <w:r w:rsidR="001135AF">
        <w:t>“</w:t>
      </w:r>
      <w:r w:rsidR="00EA7B66">
        <w:t>highly” likely outcome would have become</w:t>
      </w:r>
      <w:r w:rsidR="002D73AC">
        <w:t xml:space="preserve"> speculative.</w:t>
      </w:r>
    </w:p>
    <w:p w14:paraId="01843151" w14:textId="01BDD192" w:rsidR="002A6297" w:rsidRPr="004518E4" w:rsidRDefault="004518E4" w:rsidP="002A6297">
      <w:pPr>
        <w:pStyle w:val="ParaLevel1"/>
        <w:numPr>
          <w:ilvl w:val="0"/>
          <w:numId w:val="0"/>
        </w:numPr>
        <w:tabs>
          <w:tab w:val="left" w:pos="567"/>
        </w:tabs>
        <w:rPr>
          <w:u w:val="single"/>
        </w:rPr>
      </w:pPr>
      <w:r w:rsidRPr="004518E4">
        <w:rPr>
          <w:u w:val="single"/>
        </w:rPr>
        <w:t>Grant Conditions</w:t>
      </w:r>
      <w:r w:rsidR="00A6196C">
        <w:rPr>
          <w:u w:val="single"/>
        </w:rPr>
        <w:t>/</w:t>
      </w:r>
      <w:r w:rsidRPr="004518E4">
        <w:rPr>
          <w:u w:val="single"/>
        </w:rPr>
        <w:t xml:space="preserve">Guidance </w:t>
      </w:r>
      <w:r w:rsidR="00A6196C">
        <w:rPr>
          <w:u w:val="single"/>
        </w:rPr>
        <w:t>and</w:t>
      </w:r>
      <w:r w:rsidRPr="004518E4">
        <w:rPr>
          <w:u w:val="single"/>
        </w:rPr>
        <w:t xml:space="preserve"> Judicial Review</w:t>
      </w:r>
    </w:p>
    <w:p w14:paraId="39EF718C" w14:textId="154A5C8D" w:rsidR="00C14BB5" w:rsidRDefault="00A85694" w:rsidP="00316D61">
      <w:pPr>
        <w:pStyle w:val="ParaLevel1"/>
        <w:tabs>
          <w:tab w:val="clear" w:pos="720"/>
          <w:tab w:val="left" w:pos="567"/>
        </w:tabs>
        <w:ind w:left="567" w:hanging="567"/>
      </w:pPr>
      <w:r>
        <w:t>Thus far, I have proceeded on the basis</w:t>
      </w:r>
      <w:r w:rsidR="00D60719">
        <w:t xml:space="preserve"> of assuming</w:t>
      </w:r>
      <w:r>
        <w:t xml:space="preserve"> – in the Claimant’s favour – that material misinterpretation of a Grant Condition or Non-Statutory Guidance </w:t>
      </w:r>
      <w:r w:rsidR="00D76A64">
        <w:t>can be a ground for judicial review</w:t>
      </w:r>
      <w:r w:rsidR="00806E5B">
        <w:t xml:space="preserve"> (</w:t>
      </w:r>
      <w:r w:rsidR="00CA5249">
        <w:t xml:space="preserve">see </w:t>
      </w:r>
      <w:r w:rsidR="00806E5B">
        <w:t>§</w:t>
      </w:r>
      <w:r w:rsidR="00CA5249">
        <w:t>57 above)</w:t>
      </w:r>
      <w:r w:rsidR="00D76A64">
        <w:t>. Even on that premise, the challenge fails. But is it right?</w:t>
      </w:r>
      <w:r w:rsidR="008F2870">
        <w:t xml:space="preserve"> Based on the </w:t>
      </w:r>
      <w:r w:rsidR="00C14BB5">
        <w:t>submissions I heard in this case, and the authorities that were cited, I reach the following conclusions:</w:t>
      </w:r>
    </w:p>
    <w:p w14:paraId="308FE7C1" w14:textId="0A7E3B7A" w:rsidR="00316D61" w:rsidRDefault="007B2BB0" w:rsidP="00316D61">
      <w:pPr>
        <w:pStyle w:val="ParaLevel2"/>
        <w:tabs>
          <w:tab w:val="clear" w:pos="1418"/>
          <w:tab w:val="num" w:pos="1134"/>
        </w:tabs>
        <w:ind w:left="1134" w:hanging="567"/>
      </w:pPr>
      <w:r>
        <w:t xml:space="preserve">The fact that conditions, whose imposition is empowered by a statutory scheme, have been </w:t>
      </w:r>
      <w:r w:rsidR="003F6680">
        <w:t>applied to a</w:t>
      </w:r>
      <w:r w:rsidR="00CF2024">
        <w:t xml:space="preserve"> public authority, do</w:t>
      </w:r>
      <w:r w:rsidR="003F6680">
        <w:t>es not in my judgment of itself</w:t>
      </w:r>
      <w:r w:rsidR="00CF2024">
        <w:t xml:space="preserve"> </w:t>
      </w:r>
      <w:r w:rsidR="00406DBF">
        <w:t xml:space="preserve">provide a basis for judicial review. Otherwise, </w:t>
      </w:r>
      <w:r w:rsidR="003F6680">
        <w:t>whenever any</w:t>
      </w:r>
      <w:r w:rsidR="00406DBF">
        <w:t xml:space="preserve"> public authority </w:t>
      </w:r>
      <w:r w:rsidR="001C1DA3">
        <w:t>is the recipient of</w:t>
      </w:r>
      <w:r w:rsidR="00406DBF">
        <w:t xml:space="preserve"> a licence or </w:t>
      </w:r>
      <w:r w:rsidR="001C1DA3">
        <w:t>an authorisation</w:t>
      </w:r>
      <w:r w:rsidR="00C91A6F">
        <w:t xml:space="preserve"> – including a planning permission – there would be the prospect of public law proceedings by an interested individual or group.</w:t>
      </w:r>
    </w:p>
    <w:p w14:paraId="49D2AD04" w14:textId="77777777" w:rsidR="002770DB" w:rsidRDefault="002770DB" w:rsidP="002770DB">
      <w:pPr>
        <w:pStyle w:val="ParaLevel2"/>
        <w:tabs>
          <w:tab w:val="clear" w:pos="1418"/>
          <w:tab w:val="num" w:pos="1134"/>
        </w:tabs>
        <w:ind w:left="1134" w:hanging="567"/>
      </w:pPr>
      <w:r>
        <w:t xml:space="preserve">But </w:t>
      </w:r>
      <w:r w:rsidR="00316D61">
        <w:t>I would not exclude the possibility that grant conditions, imposed by Government pursuant to s.31(4)(5) of the 2003 Act, could be a basis for invoking the supervisory jurisdiction of the High Court. Suppose a s.31 grant is specifically conferred for allocation to care home operators in the area, who bring judicial review proceedings on the basis that the local authority has announced grant allocation for an entirely improper purpose. Or suppose the grant-conferring Minister does not consider that enforcement powers are in the circumstances adequate, and wants to secure an immediate quashing order. It is generally unwise in public law to say ‘never’.</w:t>
      </w:r>
      <w:r>
        <w:t xml:space="preserve"> Unlike</w:t>
      </w:r>
      <w:r w:rsidR="00561768">
        <w:t xml:space="preserve"> licences and permissions, s.31 grants are necessarily only </w:t>
      </w:r>
      <w:r w:rsidR="00C54687">
        <w:t>paid to local authorities.</w:t>
      </w:r>
      <w:r w:rsidR="006016A4">
        <w:t xml:space="preserve"> </w:t>
      </w:r>
      <w:r w:rsidR="00CC1D0F">
        <w:t>There could, in principle, be a legitimate public interest – consistently with the statutory purpose</w:t>
      </w:r>
      <w:r w:rsidR="00190A0D">
        <w:t xml:space="preserve"> – why the judicial review court’s supervisory jurisdiction may be appropriately needed.</w:t>
      </w:r>
    </w:p>
    <w:p w14:paraId="044C3C55" w14:textId="30B8140A" w:rsidR="00917AAD" w:rsidRDefault="00DD479D" w:rsidP="00AD2C1A">
      <w:pPr>
        <w:pStyle w:val="ParaLevel2"/>
        <w:tabs>
          <w:tab w:val="clear" w:pos="1418"/>
          <w:tab w:val="num" w:pos="1134"/>
        </w:tabs>
        <w:ind w:left="1134" w:hanging="567"/>
      </w:pPr>
      <w:r>
        <w:t>In the context of p</w:t>
      </w:r>
      <w:r w:rsidR="007C4BD9">
        <w:t>olicy instruments, p</w:t>
      </w:r>
      <w:r w:rsidR="00B87D48">
        <w:t xml:space="preserve">ublic law has developed </w:t>
      </w:r>
      <w:r w:rsidR="00AE09B1">
        <w:t>a duty of</w:t>
      </w:r>
      <w:r w:rsidR="00B87D48">
        <w:t xml:space="preserve"> conformity (</w:t>
      </w:r>
      <w:r w:rsidR="00B87D48" w:rsidRPr="009D1A62">
        <w:t>the duty</w:t>
      </w:r>
      <w:r w:rsidR="00B87D48">
        <w:t xml:space="preserve"> to “follow … published policy</w:t>
      </w:r>
      <w:r w:rsidR="00AE09B1">
        <w:t>” absent “</w:t>
      </w:r>
      <w:r w:rsidR="00B87D48">
        <w:t>good reasons</w:t>
      </w:r>
      <w:r w:rsidR="00B87D48" w:rsidRPr="009D1A62">
        <w:t>”</w:t>
      </w:r>
      <w:r w:rsidR="00B87D48">
        <w:t xml:space="preserve">) and </w:t>
      </w:r>
      <w:r>
        <w:t>an</w:t>
      </w:r>
      <w:r w:rsidR="00B87D48">
        <w:t xml:space="preserve"> entitlement of conformity (</w:t>
      </w:r>
      <w:r w:rsidR="00B87D48" w:rsidRPr="00AC219F">
        <w:t xml:space="preserve">the “basic public law right” of </w:t>
      </w:r>
      <w:r w:rsidR="00B87D48">
        <w:t>a person</w:t>
      </w:r>
      <w:r w:rsidR="00B87D48" w:rsidRPr="00AC219F">
        <w:t xml:space="preserve"> “to have </w:t>
      </w:r>
      <w:r w:rsidR="00B87D48">
        <w:t>[their]</w:t>
      </w:r>
      <w:r w:rsidR="00B87D48" w:rsidRPr="00AC219F">
        <w:t xml:space="preserve"> case considered under </w:t>
      </w:r>
      <w:r w:rsidR="00B87D48">
        <w:t>[the]</w:t>
      </w:r>
      <w:r w:rsidR="00B87D48" w:rsidRPr="00AC219F">
        <w:t xml:space="preserve"> policy”</w:t>
      </w:r>
      <w:r w:rsidR="00B87D48">
        <w:t>)</w:t>
      </w:r>
      <w:r>
        <w:t>. These are seen in</w:t>
      </w:r>
      <w:r w:rsidR="00B87D48">
        <w:t xml:space="preserve"> </w:t>
      </w:r>
      <w:r w:rsidR="00B87D48" w:rsidRPr="00B87D48">
        <w:rPr>
          <w:u w:val="single"/>
        </w:rPr>
        <w:t>R (Lumba) v SSHD</w:t>
      </w:r>
      <w:r w:rsidR="00B87D48">
        <w:t xml:space="preserve"> [2011] UKSC 12 [2012] 1 AC 245 at §§26 and 35.</w:t>
      </w:r>
      <w:r w:rsidR="007C4BD9">
        <w:t xml:space="preserve"> </w:t>
      </w:r>
      <w:r w:rsidR="00A9523C">
        <w:t>Linked to them is a public law duty to</w:t>
      </w:r>
      <w:r w:rsidR="00BD6137">
        <w:t xml:space="preserve"> appreciate any objectively correct meaning of a policy. </w:t>
      </w:r>
      <w:r w:rsidR="00F963B8">
        <w:t>As with all public law principles, context i</w:t>
      </w:r>
      <w:r w:rsidR="009A4177">
        <w:t>s</w:t>
      </w:r>
      <w:r w:rsidR="00F963B8">
        <w:t xml:space="preserve"> everything. </w:t>
      </w:r>
      <w:r w:rsidR="00BD6137">
        <w:t xml:space="preserve">I do not think </w:t>
      </w:r>
      <w:r w:rsidR="00953230">
        <w:t xml:space="preserve">these principles apply – unqualified – to </w:t>
      </w:r>
      <w:r w:rsidR="00BE03B2">
        <w:t>s.31 grant conditions</w:t>
      </w:r>
      <w:r w:rsidR="007C4BD9">
        <w:t xml:space="preserve">, or </w:t>
      </w:r>
      <w:r w:rsidR="000A35FB">
        <w:t xml:space="preserve">associated </w:t>
      </w:r>
      <w:r w:rsidR="007C4BD9">
        <w:t>non-statutory guidance</w:t>
      </w:r>
      <w:r w:rsidR="00953230">
        <w:t xml:space="preserve">. Nor would they apply, in my judgment, to </w:t>
      </w:r>
      <w:r w:rsidR="00F63DD3">
        <w:t xml:space="preserve">contractual grant conditions and associated non-statutory guidance. The </w:t>
      </w:r>
      <w:r w:rsidR="00D90DAF">
        <w:t xml:space="preserve">principal </w:t>
      </w:r>
      <w:r w:rsidR="00F63DD3">
        <w:t>reason</w:t>
      </w:r>
      <w:r w:rsidR="004427D6">
        <w:t>s are these</w:t>
      </w:r>
      <w:r w:rsidR="00F63DD3">
        <w:t xml:space="preserve">. </w:t>
      </w:r>
      <w:r w:rsidR="00D90DAF">
        <w:t>The Minister exercising the s.31 powers is the primary decision-maker with an ongoing function</w:t>
      </w:r>
      <w:r w:rsidR="00FA09C1">
        <w:t xml:space="preserve">. The Minister </w:t>
      </w:r>
      <w:r w:rsidR="00C1720C">
        <w:t>must have an</w:t>
      </w:r>
      <w:r w:rsidR="00FA09C1">
        <w:t xml:space="preserve"> autonomy for evaluative judgment as to how the grant is to be spent and is being spent, including the application of grant conditions</w:t>
      </w:r>
      <w:r w:rsidR="00D43612">
        <w:t xml:space="preserve">. The Minister may legitimately be satisfied </w:t>
      </w:r>
      <w:r w:rsidR="00C1720C">
        <w:t>as to interpretation or application</w:t>
      </w:r>
      <w:r w:rsidR="004427D6">
        <w:t xml:space="preserve">. The </w:t>
      </w:r>
      <w:r w:rsidR="006C21FA">
        <w:t xml:space="preserve">principal </w:t>
      </w:r>
      <w:r w:rsidR="004427D6">
        <w:t xml:space="preserve">function of </w:t>
      </w:r>
      <w:r w:rsidR="006C21FA">
        <w:t>conditions is to govern the relationship between Minister and local authority</w:t>
      </w:r>
      <w:r w:rsidR="00B7426F">
        <w:t>, and the principal function of non-statutory guidance is to support action consistent with the Minister’s expectations</w:t>
      </w:r>
      <w:r w:rsidR="00164508">
        <w:t xml:space="preserve">, all in the context of that ongoing autonomy. Neither conditions nor non-statutory guidance have a function of </w:t>
      </w:r>
      <w:r w:rsidR="003E548B">
        <w:t xml:space="preserve">conferring entitlements of conformity, to allow competing would-be recipients to </w:t>
      </w:r>
      <w:r w:rsidR="00B15ABD">
        <w:t>contest</w:t>
      </w:r>
      <w:r w:rsidR="003E548B">
        <w:t xml:space="preserve"> local authority grant allocation decisions</w:t>
      </w:r>
      <w:r w:rsidR="00B15ABD">
        <w:t xml:space="preserve"> in the judicial review Court.</w:t>
      </w:r>
      <w:r w:rsidR="00AD2C1A">
        <w:t xml:space="preserve"> </w:t>
      </w:r>
      <w:r w:rsidR="0024301B">
        <w:t>The present case</w:t>
      </w:r>
      <w:r w:rsidR="00757442">
        <w:t>, in my judgment,</w:t>
      </w:r>
      <w:r w:rsidR="0024301B">
        <w:t xml:space="preserve"> powerfully illustrates the</w:t>
      </w:r>
      <w:r w:rsidR="00AD2C1A">
        <w:t>se points. I</w:t>
      </w:r>
      <w:r w:rsidR="00C22C7F">
        <w:t xml:space="preserve"> would not have accepted that judicial review is a </w:t>
      </w:r>
      <w:r w:rsidR="006E1557">
        <w:t xml:space="preserve">legitimate </w:t>
      </w:r>
      <w:r w:rsidR="00C22C7F">
        <w:t xml:space="preserve">means of indirect enforcement by a </w:t>
      </w:r>
      <w:r w:rsidR="00757442">
        <w:t xml:space="preserve">would be </w:t>
      </w:r>
      <w:r w:rsidR="00C22C7F">
        <w:t xml:space="preserve">grant recipient </w:t>
      </w:r>
      <w:r w:rsidR="00722EF4">
        <w:t>of the MSI Grant Conditions or MSI Non-Statutory Guidance.</w:t>
      </w:r>
      <w:r w:rsidR="006E1557">
        <w:t xml:space="preserve"> </w:t>
      </w:r>
      <w:r w:rsidR="00613C2A">
        <w:t>It is because, given the</w:t>
      </w:r>
      <w:r w:rsidR="006E1557">
        <w:t xml:space="preserve"> nature and content of these Grant Conditions and this MSI Non-Statutory Guidance</w:t>
      </w:r>
      <w:r w:rsidR="00613C2A">
        <w:t>, they</w:t>
      </w:r>
      <w:r w:rsidR="004776E6">
        <w:t xml:space="preserve"> do not give rise to any </w:t>
      </w:r>
      <w:r w:rsidR="00613C2A">
        <w:t xml:space="preserve">enforceable </w:t>
      </w:r>
      <w:r w:rsidR="004776E6">
        <w:t xml:space="preserve">public law obligation </w:t>
      </w:r>
      <w:r w:rsidR="0028554B">
        <w:t xml:space="preserve">– or right – of conformity; nor the allied public law duty of </w:t>
      </w:r>
      <w:r w:rsidR="00A22E59">
        <w:t>objectively</w:t>
      </w:r>
      <w:r w:rsidR="004776E6">
        <w:t>-correct interpretation</w:t>
      </w:r>
      <w:r w:rsidR="0028554B">
        <w:t>.</w:t>
      </w:r>
      <w:r w:rsidR="00FF356A">
        <w:t xml:space="preserve"> </w:t>
      </w:r>
      <w:r w:rsidR="007158B2">
        <w:t xml:space="preserve">This fits with the </w:t>
      </w:r>
      <w:r w:rsidR="007158B2" w:rsidRPr="007158B2">
        <w:rPr>
          <w:u w:val="single"/>
        </w:rPr>
        <w:t>Supportways</w:t>
      </w:r>
      <w:r w:rsidR="007158B2">
        <w:t xml:space="preserve"> idea of duties owed to the Secretary of State (§§</w:t>
      </w:r>
      <w:r w:rsidR="00CC2EF7">
        <w:t>33i, 54 above)</w:t>
      </w:r>
      <w:r w:rsidR="007158B2">
        <w:t xml:space="preserve">. </w:t>
      </w:r>
      <w:r w:rsidR="00FF356A">
        <w:t xml:space="preserve">By way of footnote, </w:t>
      </w:r>
      <w:r w:rsidR="0004221C">
        <w:t>it may also be</w:t>
      </w:r>
      <w:r w:rsidR="00FF356A">
        <w:t xml:space="preserve"> why Counsel were unable to find any example of a judicial review claim based on </w:t>
      </w:r>
      <w:r w:rsidR="00792D8C">
        <w:t>grant conditions or non-statutory guidance.</w:t>
      </w:r>
    </w:p>
    <w:p w14:paraId="5823C599" w14:textId="76D1A178" w:rsidR="00461B16" w:rsidRDefault="00507E00" w:rsidP="00692720">
      <w:pPr>
        <w:pStyle w:val="ParaLevel2"/>
        <w:tabs>
          <w:tab w:val="clear" w:pos="1418"/>
          <w:tab w:val="num" w:pos="1134"/>
        </w:tabs>
        <w:ind w:left="1134" w:hanging="567"/>
      </w:pPr>
      <w:r>
        <w:t>This is not – as I see it – because of a discretionary bar, that complaint to the Minister is the would-be grant recipient’s</w:t>
      </w:r>
      <w:r w:rsidR="009A4177">
        <w:t xml:space="preserve"> </w:t>
      </w:r>
      <w:r>
        <w:t>suitable alternative remedy.</w:t>
      </w:r>
      <w:r w:rsidR="00C51A30">
        <w:t xml:space="preserve"> An alternative remedy generally arises </w:t>
      </w:r>
      <w:r w:rsidR="00A205AF">
        <w:t>where, in its absence, the judicial review court would apply public law principles and find public law errors.</w:t>
      </w:r>
      <w:r w:rsidR="00005172">
        <w:t xml:space="preserve"> </w:t>
      </w:r>
      <w:r w:rsidR="001A4E75">
        <w:t xml:space="preserve">You can test it by </w:t>
      </w:r>
      <w:r w:rsidR="00602653">
        <w:t>positing removal of the</w:t>
      </w:r>
      <w:r w:rsidR="001A4E75">
        <w:t xml:space="preserve"> alternative remedy, in consequence of which judicial review would become apt. </w:t>
      </w:r>
      <w:r w:rsidR="00602653">
        <w:t xml:space="preserve">So, an appeal right is available and judicial review is inappropriate. But the appeal right is abolished, and judicial review becomes appropriate. </w:t>
      </w:r>
      <w:r w:rsidR="00005172">
        <w:t>Here, the point is more fundamental</w:t>
      </w:r>
      <w:r w:rsidR="000C5475">
        <w:t xml:space="preserve">. The </w:t>
      </w:r>
      <w:r w:rsidR="000C5475" w:rsidRPr="000C5475">
        <w:rPr>
          <w:u w:val="single"/>
        </w:rPr>
        <w:t>Lumba</w:t>
      </w:r>
      <w:r w:rsidR="000C5475">
        <w:t xml:space="preserve"> duty and entitlement are inap</w:t>
      </w:r>
      <w:r w:rsidR="00DF405E">
        <w:t>plicable</w:t>
      </w:r>
      <w:r w:rsidR="00692720">
        <w:t xml:space="preserve">. </w:t>
      </w:r>
      <w:r w:rsidR="009B68F0">
        <w:t xml:space="preserve">That means the available route is complaint to the Minister. </w:t>
      </w:r>
      <w:r w:rsidR="000F7495">
        <w:t xml:space="preserve">But if I were wrong about </w:t>
      </w:r>
      <w:r w:rsidR="000F7495" w:rsidRPr="000F7495">
        <w:rPr>
          <w:u w:val="single"/>
        </w:rPr>
        <w:t>Lumba</w:t>
      </w:r>
      <w:r w:rsidR="000F7495">
        <w:t xml:space="preserve"> – if </w:t>
      </w:r>
      <w:r w:rsidR="00470C6A">
        <w:t>departure from, or misreading of,</w:t>
      </w:r>
      <w:r w:rsidR="00F91325">
        <w:t xml:space="preserve"> </w:t>
      </w:r>
      <w:r w:rsidR="00470C6A">
        <w:t xml:space="preserve">a </w:t>
      </w:r>
      <w:r w:rsidR="00461B5A">
        <w:t xml:space="preserve">s.31 </w:t>
      </w:r>
      <w:r w:rsidR="00470C6A">
        <w:t xml:space="preserve">grant </w:t>
      </w:r>
      <w:r w:rsidR="00F91325">
        <w:t>condition or of non</w:t>
      </w:r>
      <w:r w:rsidR="00470C6A">
        <w:t>-</w:t>
      </w:r>
      <w:r w:rsidR="00F91325">
        <w:t xml:space="preserve">statutory guidance is </w:t>
      </w:r>
      <w:r w:rsidR="00461B5A">
        <w:t xml:space="preserve">a </w:t>
      </w:r>
      <w:r w:rsidR="00470C6A">
        <w:t xml:space="preserve">public law </w:t>
      </w:r>
      <w:r w:rsidR="007029D5">
        <w:t>error</w:t>
      </w:r>
      <w:r w:rsidR="000F7495">
        <w:t xml:space="preserve"> – then in those circumstances </w:t>
      </w:r>
      <w:r w:rsidR="00E4231F">
        <w:t>I</w:t>
      </w:r>
      <w:r w:rsidR="006207BA">
        <w:t xml:space="preserve"> do not </w:t>
      </w:r>
      <w:r w:rsidR="00E4231F">
        <w:t xml:space="preserve">then </w:t>
      </w:r>
      <w:r w:rsidR="006207BA">
        <w:t xml:space="preserve">see how </w:t>
      </w:r>
      <w:r w:rsidR="00461B5A">
        <w:t xml:space="preserve">the existence or non-existence of an avenue of complaint to </w:t>
      </w:r>
      <w:r w:rsidR="006207BA">
        <w:t>the</w:t>
      </w:r>
      <w:r w:rsidR="00E4231F">
        <w:t xml:space="preserve"> Minister </w:t>
      </w:r>
      <w:r w:rsidR="00461B5A">
        <w:t>becomes a</w:t>
      </w:r>
      <w:r w:rsidR="00DF405E">
        <w:t xml:space="preserve"> public law</w:t>
      </w:r>
      <w:r w:rsidR="006207BA">
        <w:t xml:space="preserve"> alternative remedy.</w:t>
      </w:r>
      <w:r w:rsidR="00DF405E">
        <w:t xml:space="preserve"> </w:t>
      </w:r>
    </w:p>
    <w:p w14:paraId="3E130644" w14:textId="7962D5B0" w:rsidR="002D73AC" w:rsidRPr="002D73AC" w:rsidRDefault="00D0033C" w:rsidP="002D73AC">
      <w:pPr>
        <w:pStyle w:val="ParaLevel1"/>
        <w:numPr>
          <w:ilvl w:val="0"/>
          <w:numId w:val="0"/>
        </w:numPr>
        <w:tabs>
          <w:tab w:val="left" w:pos="567"/>
        </w:tabs>
        <w:rPr>
          <w:u w:val="single"/>
        </w:rPr>
      </w:pPr>
      <w:r>
        <w:rPr>
          <w:u w:val="single"/>
        </w:rPr>
        <w:t>CONCLUSION</w:t>
      </w:r>
    </w:p>
    <w:p w14:paraId="3D4C4F54" w14:textId="77777777" w:rsidR="00D87239" w:rsidRDefault="004231EB" w:rsidP="000E4C20">
      <w:pPr>
        <w:pStyle w:val="ParaLevel1"/>
        <w:tabs>
          <w:tab w:val="clear" w:pos="720"/>
          <w:tab w:val="left" w:pos="567"/>
        </w:tabs>
        <w:ind w:left="567" w:hanging="567"/>
      </w:pPr>
      <w:r>
        <w:t>For the reasons I have given, the claim fails.</w:t>
      </w:r>
      <w:r w:rsidR="007B61A9">
        <w:t xml:space="preserve"> </w:t>
      </w:r>
      <w:r w:rsidR="00335FBB">
        <w:t xml:space="preserve">I will refuse permission for judicial review for the claim seeking a quashing order. </w:t>
      </w:r>
      <w:r w:rsidR="000D4E1E">
        <w:t xml:space="preserve">In relation to the claim for a declaration, I </w:t>
      </w:r>
      <w:r w:rsidR="00345696">
        <w:t xml:space="preserve">will </w:t>
      </w:r>
      <w:r w:rsidR="000D4E1E">
        <w:t>grant permission for judicial review</w:t>
      </w:r>
      <w:r w:rsidR="00345696">
        <w:t>. That is because all</w:t>
      </w:r>
      <w:r w:rsidR="000D4E1E">
        <w:t xml:space="preserve"> issues which were maintained crossed the threshold of arguability</w:t>
      </w:r>
      <w:r w:rsidR="00345696">
        <w:t>. But I will</w:t>
      </w:r>
      <w:r w:rsidR="000D4E1E">
        <w:t xml:space="preserve"> dismiss the substantive claim</w:t>
      </w:r>
      <w:r w:rsidR="008E2215">
        <w:t>, because none of the grounds has succeeded</w:t>
      </w:r>
      <w:r w:rsidR="000D4E1E">
        <w:t>.</w:t>
      </w:r>
    </w:p>
    <w:p w14:paraId="02417093" w14:textId="74DC2A36" w:rsidR="000E4C20" w:rsidRDefault="00C3168F" w:rsidP="000E4C20">
      <w:pPr>
        <w:pStyle w:val="ParaLevel1"/>
        <w:tabs>
          <w:tab w:val="clear" w:pos="720"/>
          <w:tab w:val="left" w:pos="567"/>
        </w:tabs>
        <w:ind w:left="567" w:hanging="567"/>
      </w:pPr>
      <w:r>
        <w:t xml:space="preserve">Having circulated this judgment as a confidential draft, </w:t>
      </w:r>
      <w:r w:rsidR="002B4BA7">
        <w:t xml:space="preserve">and because </w:t>
      </w:r>
      <w:r w:rsidR="00886847">
        <w:t xml:space="preserve">the legal teams faithfully followed my wishes as to use of the time between receipt of that draft </w:t>
      </w:r>
      <w:r w:rsidR="000E4C20">
        <w:t xml:space="preserve">judgment </w:t>
      </w:r>
      <w:r w:rsidR="00886847">
        <w:t>and hand-down of th</w:t>
      </w:r>
      <w:r w:rsidR="000E4C20">
        <w:t xml:space="preserve">is approved judgment,  </w:t>
      </w:r>
      <w:r>
        <w:t xml:space="preserve">I </w:t>
      </w:r>
      <w:r w:rsidR="002421BD">
        <w:t xml:space="preserve">am able to deal here with </w:t>
      </w:r>
      <w:r w:rsidR="00F81579">
        <w:t>consequential matter</w:t>
      </w:r>
      <w:r w:rsidR="008128D4">
        <w:t>s</w:t>
      </w:r>
      <w:r w:rsidR="00F81579">
        <w:t>.</w:t>
      </w:r>
      <w:r w:rsidR="00B77705">
        <w:t xml:space="preserve"> </w:t>
      </w:r>
      <w:r w:rsidR="000E4C20">
        <w:t>That leaves no loose end</w:t>
      </w:r>
      <w:r w:rsidR="00676C68">
        <w:t xml:space="preserve"> and allows everything to be addressed in the </w:t>
      </w:r>
      <w:r w:rsidR="00D87239">
        <w:t xml:space="preserve">promulgated </w:t>
      </w:r>
      <w:r w:rsidR="00676C68">
        <w:t>judgment, promoting open justice.</w:t>
      </w:r>
    </w:p>
    <w:p w14:paraId="117744B9" w14:textId="1CC665F0" w:rsidR="008128D4" w:rsidRDefault="00FD3A82" w:rsidP="000E4C20">
      <w:pPr>
        <w:pStyle w:val="ParaLevel1"/>
        <w:tabs>
          <w:tab w:val="clear" w:pos="720"/>
          <w:tab w:val="left" w:pos="567"/>
        </w:tabs>
        <w:ind w:left="567" w:hanging="567"/>
      </w:pPr>
      <w:r>
        <w:t xml:space="preserve">The following terms of </w:t>
      </w:r>
      <w:r w:rsidR="00B77705">
        <w:t>my</w:t>
      </w:r>
      <w:r>
        <w:t xml:space="preserve"> Order, in light of the judgment, were agreed: (1) Permission </w:t>
      </w:r>
      <w:r w:rsidR="00636FBE">
        <w:t xml:space="preserve">to apply </w:t>
      </w:r>
      <w:r>
        <w:t>for judicial review is refused insofar as the</w:t>
      </w:r>
      <w:r w:rsidR="00636FBE">
        <w:t xml:space="preserve"> Claimant sought a quashing order; (2) Permission to apply for judicial review is granted insofar as the Claimant sought a declaration. (3) The claim for judicial review is dismissed on all grounds. </w:t>
      </w:r>
      <w:r w:rsidR="00052B53">
        <w:t xml:space="preserve">(4) </w:t>
      </w:r>
      <w:r w:rsidR="00636FBE">
        <w:t xml:space="preserve">The </w:t>
      </w:r>
      <w:r w:rsidR="00372E4C">
        <w:t xml:space="preserve">Claimant shall pay the </w:t>
      </w:r>
      <w:r w:rsidR="00052B53">
        <w:t>Council’s</w:t>
      </w:r>
      <w:r w:rsidR="00372E4C">
        <w:t xml:space="preserve"> costs of the claim on the standard basis, to be the subject of detailed assessment if not agreed</w:t>
      </w:r>
      <w:r w:rsidR="008877B7">
        <w:t>. (</w:t>
      </w:r>
      <w:r w:rsidR="00B77705">
        <w:t>5</w:t>
      </w:r>
      <w:r w:rsidR="008877B7">
        <w:t xml:space="preserve">) The </w:t>
      </w:r>
      <w:r w:rsidR="005055F3">
        <w:t xml:space="preserve">Claimant shall pay the </w:t>
      </w:r>
      <w:r w:rsidR="00B77705">
        <w:t>Council</w:t>
      </w:r>
      <w:r w:rsidR="005055F3">
        <w:t xml:space="preserve"> £50,000 on account of costs, to be paid within 28 days.</w:t>
      </w:r>
    </w:p>
    <w:p w14:paraId="0A834724" w14:textId="45A1664A" w:rsidR="005055F3" w:rsidRDefault="001E4DA6" w:rsidP="008128D4">
      <w:pPr>
        <w:pStyle w:val="ParaLevel1"/>
        <w:tabs>
          <w:tab w:val="clear" w:pos="720"/>
          <w:tab w:val="left" w:pos="567"/>
        </w:tabs>
        <w:ind w:left="567" w:hanging="567"/>
      </w:pPr>
      <w:r>
        <w:t xml:space="preserve">The </w:t>
      </w:r>
      <w:r w:rsidR="008128D4">
        <w:t xml:space="preserve">sole </w:t>
      </w:r>
      <w:r>
        <w:t xml:space="preserve">contested </w:t>
      </w:r>
      <w:r w:rsidR="008128D4">
        <w:t>consequential matter</w:t>
      </w:r>
      <w:r>
        <w:t xml:space="preserve"> is permission to appeal.</w:t>
      </w:r>
      <w:r w:rsidR="00B36148">
        <w:t xml:space="preserve"> Mr Buttler KC submits that an appeal has a real prospect of success</w:t>
      </w:r>
      <w:r w:rsidR="00716CE4">
        <w:t xml:space="preserve"> on the basis</w:t>
      </w:r>
      <w:r w:rsidR="002C6CD0">
        <w:t xml:space="preserve"> of:</w:t>
      </w:r>
      <w:r w:rsidR="00716CE4">
        <w:t xml:space="preserve"> (</w:t>
      </w:r>
      <w:r w:rsidR="00506C28">
        <w:t>a</w:t>
      </w:r>
      <w:r w:rsidR="00716CE4">
        <w:t xml:space="preserve">) </w:t>
      </w:r>
      <w:r w:rsidR="002C6CD0">
        <w:t>failure to</w:t>
      </w:r>
      <w:r w:rsidR="00716CE4">
        <w:t xml:space="preserve"> ask the right question or give legally adequate reasons</w:t>
      </w:r>
      <w:r w:rsidR="002C6CD0">
        <w:t>,</w:t>
      </w:r>
      <w:r w:rsidR="00264895">
        <w:t xml:space="preserve"> because </w:t>
      </w:r>
      <w:r w:rsidR="00087BCC">
        <w:t xml:space="preserve">it did not </w:t>
      </w:r>
      <w:r w:rsidR="002C6CD0">
        <w:t>answer the market sustainability question in terms and the</w:t>
      </w:r>
      <w:r w:rsidR="004025EB">
        <w:t xml:space="preserve"> thrust of the letter, the draft market sustainability plan and some of the written and oral submissions were that </w:t>
      </w:r>
      <w:r w:rsidR="00FC78AD">
        <w:t>market sustainability was subject to the inflation problem; and</w:t>
      </w:r>
      <w:r w:rsidR="00887A0B">
        <w:t>/or</w:t>
      </w:r>
      <w:r w:rsidR="00FC78AD">
        <w:t xml:space="preserve"> (</w:t>
      </w:r>
      <w:r w:rsidR="00506C28">
        <w:t>b</w:t>
      </w:r>
      <w:r w:rsidR="00FC78AD">
        <w:t xml:space="preserve">) </w:t>
      </w:r>
      <w:r w:rsidR="00887A0B">
        <w:t>failure to conduct a legally sufficient enquiry</w:t>
      </w:r>
      <w:r w:rsidR="00851328">
        <w:t xml:space="preserve"> (or give legally adequate reasons)</w:t>
      </w:r>
      <w:r w:rsidR="00950227">
        <w:t xml:space="preserve">, where </w:t>
      </w:r>
      <w:r w:rsidR="00851328">
        <w:t xml:space="preserve">the Council’s </w:t>
      </w:r>
      <w:r w:rsidR="00950227">
        <w:t xml:space="preserve">own-initiative analysis showed </w:t>
      </w:r>
      <w:r w:rsidR="004B0333">
        <w:t xml:space="preserve">such </w:t>
      </w:r>
      <w:r w:rsidR="00950227">
        <w:t>a disparity</w:t>
      </w:r>
      <w:r w:rsidR="007110AF">
        <w:t xml:space="preserve"> such that reasonableness required </w:t>
      </w:r>
      <w:r w:rsidR="004B0333">
        <w:t xml:space="preserve">an </w:t>
      </w:r>
      <w:r w:rsidR="00212E30">
        <w:t>identification of an overall difference.</w:t>
      </w:r>
      <w:r w:rsidR="00C42ED6">
        <w:t xml:space="preserve"> </w:t>
      </w:r>
      <w:r w:rsidR="00506C28">
        <w:t>I am conscious</w:t>
      </w:r>
      <w:r w:rsidR="004B0333">
        <w:t>, in dealing with this rolled-up- hearing,</w:t>
      </w:r>
      <w:r w:rsidR="00506C28">
        <w:t xml:space="preserve"> that I found the </w:t>
      </w:r>
      <w:r w:rsidR="00C42ED6">
        <w:t>points arguable</w:t>
      </w:r>
      <w:r w:rsidR="00310C7F">
        <w:t xml:space="preserve"> so as to grant permission for judicial review</w:t>
      </w:r>
      <w:r w:rsidR="00506C28">
        <w:t xml:space="preserve">. </w:t>
      </w:r>
      <w:r w:rsidR="00EA7F8F">
        <w:t>But</w:t>
      </w:r>
      <w:r w:rsidR="00C42ED6">
        <w:t>, having analysed the</w:t>
      </w:r>
      <w:r w:rsidR="00310C7F">
        <w:t xml:space="preserve">se points </w:t>
      </w:r>
      <w:r w:rsidR="00007DFF">
        <w:t xml:space="preserve">in detail, </w:t>
      </w:r>
      <w:r w:rsidR="00F05F74">
        <w:t xml:space="preserve">I </w:t>
      </w:r>
      <w:r w:rsidR="00EA7F8F">
        <w:t xml:space="preserve">should not grant permission to appeal unless – for my part – I am able </w:t>
      </w:r>
      <w:r w:rsidR="00CB7B94">
        <w:t xml:space="preserve">now </w:t>
      </w:r>
      <w:r w:rsidR="00EA7F8F">
        <w:t>to see a</w:t>
      </w:r>
      <w:r w:rsidR="00F05F74">
        <w:t xml:space="preserve"> realistic prospect </w:t>
      </w:r>
      <w:r w:rsidR="0037277D">
        <w:t>of th</w:t>
      </w:r>
      <w:r w:rsidR="006E27C0">
        <w:t>eir succe</w:t>
      </w:r>
      <w:r w:rsidR="00EA7F8F">
        <w:t>eding</w:t>
      </w:r>
      <w:r w:rsidR="0037277D">
        <w:t xml:space="preserve"> </w:t>
      </w:r>
      <w:r w:rsidR="00F05F74">
        <w:t>in the Court of Appeal</w:t>
      </w:r>
      <w:r w:rsidR="0037277D">
        <w:t>.</w:t>
      </w:r>
      <w:r w:rsidR="00506C28">
        <w:t xml:space="preserve"> </w:t>
      </w:r>
      <w:r w:rsidR="002534A0">
        <w:t xml:space="preserve">I </w:t>
      </w:r>
      <w:r w:rsidR="000F0B75">
        <w:t>have not been able to see that realistic prospect, and so I will add to the Order</w:t>
      </w:r>
      <w:r w:rsidR="00B77705">
        <w:t xml:space="preserve">: (6) The </w:t>
      </w:r>
      <w:r w:rsidR="00C5119D">
        <w:t xml:space="preserve">Claimant’s </w:t>
      </w:r>
      <w:r w:rsidR="00B77705">
        <w:t>application for permission to appeal is refused</w:t>
      </w:r>
      <w:r w:rsidR="00506C28">
        <w:t>.</w:t>
      </w:r>
    </w:p>
    <w:sectPr w:rsidR="005055F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F06D3" w14:textId="77777777" w:rsidR="00566F29" w:rsidRDefault="00566F29">
      <w:r>
        <w:separator/>
      </w:r>
    </w:p>
  </w:endnote>
  <w:endnote w:type="continuationSeparator" w:id="0">
    <w:p w14:paraId="1293ED9F" w14:textId="77777777" w:rsidR="00566F29" w:rsidRDefault="00566F29">
      <w:r>
        <w:continuationSeparator/>
      </w:r>
    </w:p>
  </w:endnote>
  <w:endnote w:type="continuationNotice" w:id="1">
    <w:p w14:paraId="040164A3" w14:textId="77777777" w:rsidR="00566F29" w:rsidRDefault="0056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4B79" w14:textId="77777777" w:rsidR="004A2C8F" w:rsidRDefault="004A2C8F">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141610"/>
      <w:docPartObj>
        <w:docPartGallery w:val="Page Numbers (Bottom of Page)"/>
        <w:docPartUnique/>
      </w:docPartObj>
    </w:sdtPr>
    <w:sdtEndPr>
      <w:rPr>
        <w:rFonts w:ascii="Times New Roman" w:hAnsi="Times New Roman"/>
        <w:noProof/>
      </w:rPr>
    </w:sdtEndPr>
    <w:sdtContent>
      <w:p w14:paraId="064E6948" w14:textId="0255A29A" w:rsidR="000C581F" w:rsidRPr="000C581F" w:rsidRDefault="000C581F">
        <w:pPr>
          <w:pStyle w:val="Footer"/>
          <w:jc w:val="center"/>
          <w:rPr>
            <w:rFonts w:ascii="Times New Roman" w:hAnsi="Times New Roman"/>
          </w:rPr>
        </w:pPr>
        <w:r w:rsidRPr="000C581F">
          <w:rPr>
            <w:rFonts w:ascii="Times New Roman" w:hAnsi="Times New Roman"/>
          </w:rPr>
          <w:fldChar w:fldCharType="begin"/>
        </w:r>
        <w:r w:rsidRPr="000C581F">
          <w:rPr>
            <w:rFonts w:ascii="Times New Roman" w:hAnsi="Times New Roman"/>
          </w:rPr>
          <w:instrText xml:space="preserve"> PAGE   \* MERGEFORMAT </w:instrText>
        </w:r>
        <w:r w:rsidRPr="000C581F">
          <w:rPr>
            <w:rFonts w:ascii="Times New Roman" w:hAnsi="Times New Roman"/>
          </w:rPr>
          <w:fldChar w:fldCharType="separate"/>
        </w:r>
        <w:r w:rsidRPr="000C581F">
          <w:rPr>
            <w:rFonts w:ascii="Times New Roman" w:hAnsi="Times New Roman"/>
            <w:noProof/>
          </w:rPr>
          <w:t>2</w:t>
        </w:r>
        <w:r w:rsidRPr="000C581F">
          <w:rPr>
            <w:rFonts w:ascii="Times New Roman" w:hAnsi="Times New Roman"/>
            <w:noProof/>
          </w:rPr>
          <w:fldChar w:fldCharType="end"/>
        </w:r>
      </w:p>
    </w:sdtContent>
  </w:sdt>
  <w:p w14:paraId="55585D72" w14:textId="77777777" w:rsidR="004A2C8F" w:rsidRDefault="004A2C8F" w:rsidP="000C58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D166" w14:textId="77777777" w:rsidR="00566F29" w:rsidRDefault="00566F29">
      <w:r>
        <w:separator/>
      </w:r>
    </w:p>
  </w:footnote>
  <w:footnote w:type="continuationSeparator" w:id="0">
    <w:p w14:paraId="19849F2D" w14:textId="77777777" w:rsidR="00566F29" w:rsidRDefault="00566F29">
      <w:r>
        <w:continuationSeparator/>
      </w:r>
    </w:p>
  </w:footnote>
  <w:footnote w:type="continuationNotice" w:id="1">
    <w:p w14:paraId="6BADE479" w14:textId="77777777" w:rsidR="00566F29" w:rsidRDefault="00566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4A2C8F" w14:paraId="14B546C0" w14:textId="77777777">
      <w:tc>
        <w:tcPr>
          <w:tcW w:w="4680" w:type="dxa"/>
        </w:tcPr>
        <w:p w14:paraId="6B28D4F1" w14:textId="3045343A" w:rsidR="004A2C8F" w:rsidRDefault="004A2C8F">
          <w:pPr>
            <w:pStyle w:val="Header"/>
            <w:rPr>
              <w:rFonts w:ascii="Times New Roman" w:hAnsi="Times New Roman"/>
              <w:b/>
              <w:sz w:val="16"/>
              <w:u w:val="single"/>
            </w:rPr>
          </w:pPr>
          <w:r>
            <w:rPr>
              <w:rFonts w:ascii="Times New Roman" w:hAnsi="Times New Roman"/>
              <w:b/>
              <w:sz w:val="16"/>
              <w:u w:val="single"/>
            </w:rPr>
            <w:t>FORDHAM</w:t>
          </w:r>
          <w:r w:rsidR="002F6A8D">
            <w:rPr>
              <w:rFonts w:ascii="Times New Roman" w:hAnsi="Times New Roman"/>
              <w:b/>
              <w:sz w:val="16"/>
              <w:u w:val="single"/>
            </w:rPr>
            <w:t xml:space="preserve"> J </w:t>
          </w:r>
        </w:p>
        <w:p w14:paraId="187E074E" w14:textId="421F8530" w:rsidR="004A2C8F" w:rsidRDefault="00DC4E77">
          <w:pPr>
            <w:pStyle w:val="Header"/>
            <w:rPr>
              <w:rFonts w:ascii="Times New Roman" w:hAnsi="Times New Roman"/>
              <w:b/>
              <w:sz w:val="16"/>
              <w:u w:val="single"/>
            </w:rPr>
          </w:pPr>
          <w:r>
            <w:rPr>
              <w:rFonts w:ascii="Times New Roman" w:hAnsi="Times New Roman"/>
              <w:b/>
              <w:sz w:val="16"/>
              <w:u w:val="single"/>
            </w:rPr>
            <w:t>Approved</w:t>
          </w:r>
          <w:r w:rsidR="004A2C8F">
            <w:rPr>
              <w:rFonts w:ascii="Times New Roman" w:hAnsi="Times New Roman"/>
              <w:b/>
              <w:sz w:val="16"/>
              <w:u w:val="single"/>
            </w:rPr>
            <w:t xml:space="preserve"> Judgment</w:t>
          </w:r>
        </w:p>
      </w:tc>
      <w:tc>
        <w:tcPr>
          <w:tcW w:w="4320" w:type="dxa"/>
        </w:tcPr>
        <w:p w14:paraId="37709831" w14:textId="77777777" w:rsidR="00FB5369" w:rsidRDefault="00A042BD">
          <w:pPr>
            <w:pStyle w:val="Header"/>
            <w:jc w:val="right"/>
            <w:rPr>
              <w:rFonts w:ascii="Times New Roman" w:hAnsi="Times New Roman"/>
              <w:sz w:val="16"/>
            </w:rPr>
          </w:pPr>
          <w:r>
            <w:rPr>
              <w:rFonts w:ascii="Times New Roman" w:hAnsi="Times New Roman"/>
              <w:sz w:val="16"/>
            </w:rPr>
            <w:t>R (Care North East</w:t>
          </w:r>
          <w:r w:rsidR="00FB5369">
            <w:rPr>
              <w:rFonts w:ascii="Times New Roman" w:hAnsi="Times New Roman"/>
              <w:sz w:val="16"/>
            </w:rPr>
            <w:t xml:space="preserve"> Northumberland</w:t>
          </w:r>
          <w:r>
            <w:rPr>
              <w:rFonts w:ascii="Times New Roman" w:hAnsi="Times New Roman"/>
              <w:sz w:val="16"/>
            </w:rPr>
            <w:t>)</w:t>
          </w:r>
        </w:p>
        <w:p w14:paraId="35EB0897" w14:textId="3569D080" w:rsidR="004A2C8F" w:rsidRDefault="00A042BD">
          <w:pPr>
            <w:pStyle w:val="Header"/>
            <w:jc w:val="right"/>
            <w:rPr>
              <w:rFonts w:ascii="Times New Roman" w:hAnsi="Times New Roman"/>
              <w:sz w:val="16"/>
            </w:rPr>
          </w:pPr>
          <w:r>
            <w:rPr>
              <w:rFonts w:ascii="Times New Roman" w:hAnsi="Times New Roman"/>
              <w:sz w:val="16"/>
            </w:rPr>
            <w:t>v Northumberland County Council</w:t>
          </w:r>
        </w:p>
      </w:tc>
    </w:tr>
  </w:tbl>
  <w:p w14:paraId="0967E894" w14:textId="77777777" w:rsidR="004A2C8F" w:rsidRDefault="004A2C8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8BC"/>
    <w:multiLevelType w:val="hybridMultilevel"/>
    <w:tmpl w:val="6A768700"/>
    <w:lvl w:ilvl="0" w:tplc="A4920BD6">
      <w:start w:val="1"/>
      <w:numFmt w:val="upp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E1658"/>
    <w:multiLevelType w:val="hybridMultilevel"/>
    <w:tmpl w:val="AFBE9806"/>
    <w:lvl w:ilvl="0" w:tplc="7B48F12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E62B5B"/>
    <w:multiLevelType w:val="hybridMultilevel"/>
    <w:tmpl w:val="8AEA92D2"/>
    <w:lvl w:ilvl="0" w:tplc="16040FFC">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256D1"/>
    <w:multiLevelType w:val="hybridMultilevel"/>
    <w:tmpl w:val="417ED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3B7369"/>
    <w:multiLevelType w:val="hybridMultilevel"/>
    <w:tmpl w:val="F5741A00"/>
    <w:lvl w:ilvl="0" w:tplc="E5BE2F7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2E766D2"/>
    <w:multiLevelType w:val="hybridMultilevel"/>
    <w:tmpl w:val="88E2B528"/>
    <w:lvl w:ilvl="0" w:tplc="193C91C6">
      <w:start w:val="1"/>
      <w:numFmt w:val="decimal"/>
      <w:lvlText w:val="%1."/>
      <w:lvlJc w:val="left"/>
      <w:pPr>
        <w:tabs>
          <w:tab w:val="num" w:pos="360"/>
        </w:tabs>
        <w:ind w:left="360" w:hanging="360"/>
      </w:pPr>
      <w:rPr>
        <w:rFonts w:hint="default"/>
        <w:b w:val="0"/>
      </w:rPr>
    </w:lvl>
    <w:lvl w:ilvl="1" w:tplc="870C5174">
      <w:start w:val="1"/>
      <w:numFmt w:val="lowerRoman"/>
      <w:lvlText w:val="%2."/>
      <w:lvlJc w:val="left"/>
      <w:pPr>
        <w:tabs>
          <w:tab w:val="num" w:pos="1440"/>
        </w:tabs>
        <w:ind w:left="1440" w:hanging="720"/>
      </w:pPr>
      <w:rPr>
        <w:rFonts w:hint="default"/>
      </w:rPr>
    </w:lvl>
    <w:lvl w:ilvl="2" w:tplc="459A9D22">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7" w15:restartNumberingAfterBreak="0">
    <w:nsid w:val="7C470A0A"/>
    <w:multiLevelType w:val="hybridMultilevel"/>
    <w:tmpl w:val="190A1AA8"/>
    <w:lvl w:ilvl="0" w:tplc="AE045A2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5"/>
  </w:num>
  <w:num w:numId="4">
    <w:abstractNumId w:val="3"/>
  </w:num>
  <w:num w:numId="5">
    <w:abstractNumId w:val="4"/>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28"/>
    <w:rsid w:val="00000C04"/>
    <w:rsid w:val="0000174C"/>
    <w:rsid w:val="00002563"/>
    <w:rsid w:val="00002746"/>
    <w:rsid w:val="00002B16"/>
    <w:rsid w:val="00003267"/>
    <w:rsid w:val="00003734"/>
    <w:rsid w:val="00004B27"/>
    <w:rsid w:val="00005172"/>
    <w:rsid w:val="00006FAB"/>
    <w:rsid w:val="000071C6"/>
    <w:rsid w:val="00007501"/>
    <w:rsid w:val="00007939"/>
    <w:rsid w:val="00007DFF"/>
    <w:rsid w:val="00010800"/>
    <w:rsid w:val="00010803"/>
    <w:rsid w:val="000108D9"/>
    <w:rsid w:val="0001090D"/>
    <w:rsid w:val="00011B38"/>
    <w:rsid w:val="000126D1"/>
    <w:rsid w:val="000128AA"/>
    <w:rsid w:val="000132D7"/>
    <w:rsid w:val="00014C7F"/>
    <w:rsid w:val="00015ACC"/>
    <w:rsid w:val="00015B5A"/>
    <w:rsid w:val="0001633C"/>
    <w:rsid w:val="000170A8"/>
    <w:rsid w:val="00017671"/>
    <w:rsid w:val="00017F33"/>
    <w:rsid w:val="000207BB"/>
    <w:rsid w:val="00020C38"/>
    <w:rsid w:val="00020D70"/>
    <w:rsid w:val="00020D8D"/>
    <w:rsid w:val="00023A5C"/>
    <w:rsid w:val="00024847"/>
    <w:rsid w:val="00025138"/>
    <w:rsid w:val="00026210"/>
    <w:rsid w:val="000264A0"/>
    <w:rsid w:val="000277F7"/>
    <w:rsid w:val="00030700"/>
    <w:rsid w:val="0003191C"/>
    <w:rsid w:val="00031B2E"/>
    <w:rsid w:val="000320DB"/>
    <w:rsid w:val="000321E6"/>
    <w:rsid w:val="00032B56"/>
    <w:rsid w:val="00032B9F"/>
    <w:rsid w:val="00032C83"/>
    <w:rsid w:val="00033A26"/>
    <w:rsid w:val="0003428B"/>
    <w:rsid w:val="000343E7"/>
    <w:rsid w:val="00034B5E"/>
    <w:rsid w:val="00037CE4"/>
    <w:rsid w:val="00037ED7"/>
    <w:rsid w:val="0004148A"/>
    <w:rsid w:val="00041665"/>
    <w:rsid w:val="000416EB"/>
    <w:rsid w:val="0004221C"/>
    <w:rsid w:val="00042688"/>
    <w:rsid w:val="00043864"/>
    <w:rsid w:val="00044D57"/>
    <w:rsid w:val="0004641E"/>
    <w:rsid w:val="00046A63"/>
    <w:rsid w:val="0004730F"/>
    <w:rsid w:val="00050AA5"/>
    <w:rsid w:val="00051188"/>
    <w:rsid w:val="00051A92"/>
    <w:rsid w:val="00051D0E"/>
    <w:rsid w:val="000522E3"/>
    <w:rsid w:val="00052B3E"/>
    <w:rsid w:val="00052B53"/>
    <w:rsid w:val="000536B1"/>
    <w:rsid w:val="0005398E"/>
    <w:rsid w:val="00053FF3"/>
    <w:rsid w:val="0005425B"/>
    <w:rsid w:val="0005493F"/>
    <w:rsid w:val="000563D5"/>
    <w:rsid w:val="000577B7"/>
    <w:rsid w:val="00057848"/>
    <w:rsid w:val="000578B4"/>
    <w:rsid w:val="00060A61"/>
    <w:rsid w:val="00060CBC"/>
    <w:rsid w:val="00061CAC"/>
    <w:rsid w:val="00061ED5"/>
    <w:rsid w:val="000640F7"/>
    <w:rsid w:val="000642F9"/>
    <w:rsid w:val="00064903"/>
    <w:rsid w:val="000649AA"/>
    <w:rsid w:val="000674EE"/>
    <w:rsid w:val="00067AED"/>
    <w:rsid w:val="00067B1E"/>
    <w:rsid w:val="00070BAF"/>
    <w:rsid w:val="00070E15"/>
    <w:rsid w:val="00070F9B"/>
    <w:rsid w:val="00071057"/>
    <w:rsid w:val="00071754"/>
    <w:rsid w:val="000718F8"/>
    <w:rsid w:val="000720D1"/>
    <w:rsid w:val="0007222A"/>
    <w:rsid w:val="0007290B"/>
    <w:rsid w:val="00072D5B"/>
    <w:rsid w:val="00074B00"/>
    <w:rsid w:val="0007615E"/>
    <w:rsid w:val="000761A2"/>
    <w:rsid w:val="00077164"/>
    <w:rsid w:val="00077A00"/>
    <w:rsid w:val="00077A25"/>
    <w:rsid w:val="000815B0"/>
    <w:rsid w:val="0008289D"/>
    <w:rsid w:val="00082B7A"/>
    <w:rsid w:val="00082BCC"/>
    <w:rsid w:val="00083035"/>
    <w:rsid w:val="00083B83"/>
    <w:rsid w:val="00083E14"/>
    <w:rsid w:val="000844A3"/>
    <w:rsid w:val="00084CC5"/>
    <w:rsid w:val="00085A66"/>
    <w:rsid w:val="00086E48"/>
    <w:rsid w:val="0008707E"/>
    <w:rsid w:val="000872D6"/>
    <w:rsid w:val="00087593"/>
    <w:rsid w:val="00087BCC"/>
    <w:rsid w:val="00087E2C"/>
    <w:rsid w:val="00087F2B"/>
    <w:rsid w:val="0009042B"/>
    <w:rsid w:val="00090C85"/>
    <w:rsid w:val="00091508"/>
    <w:rsid w:val="00092F3E"/>
    <w:rsid w:val="00093670"/>
    <w:rsid w:val="00093AEB"/>
    <w:rsid w:val="00093B8E"/>
    <w:rsid w:val="00094A06"/>
    <w:rsid w:val="00094B84"/>
    <w:rsid w:val="00094C7F"/>
    <w:rsid w:val="00094EF2"/>
    <w:rsid w:val="00095094"/>
    <w:rsid w:val="0009520A"/>
    <w:rsid w:val="00095A18"/>
    <w:rsid w:val="00095A53"/>
    <w:rsid w:val="00096316"/>
    <w:rsid w:val="00097525"/>
    <w:rsid w:val="00097833"/>
    <w:rsid w:val="00097C80"/>
    <w:rsid w:val="000A0981"/>
    <w:rsid w:val="000A3482"/>
    <w:rsid w:val="000A35FB"/>
    <w:rsid w:val="000A3606"/>
    <w:rsid w:val="000A4402"/>
    <w:rsid w:val="000A589E"/>
    <w:rsid w:val="000A7F12"/>
    <w:rsid w:val="000B00F8"/>
    <w:rsid w:val="000B0B0B"/>
    <w:rsid w:val="000B10EA"/>
    <w:rsid w:val="000B1C7E"/>
    <w:rsid w:val="000B21A6"/>
    <w:rsid w:val="000B2485"/>
    <w:rsid w:val="000B2B71"/>
    <w:rsid w:val="000B34AD"/>
    <w:rsid w:val="000B439D"/>
    <w:rsid w:val="000B45F6"/>
    <w:rsid w:val="000B4754"/>
    <w:rsid w:val="000B488C"/>
    <w:rsid w:val="000B4B75"/>
    <w:rsid w:val="000B5F83"/>
    <w:rsid w:val="000B60F3"/>
    <w:rsid w:val="000B6215"/>
    <w:rsid w:val="000B644D"/>
    <w:rsid w:val="000B6463"/>
    <w:rsid w:val="000B669C"/>
    <w:rsid w:val="000B6C91"/>
    <w:rsid w:val="000B732E"/>
    <w:rsid w:val="000B7472"/>
    <w:rsid w:val="000B7D51"/>
    <w:rsid w:val="000C0CED"/>
    <w:rsid w:val="000C12FB"/>
    <w:rsid w:val="000C142A"/>
    <w:rsid w:val="000C143A"/>
    <w:rsid w:val="000C1631"/>
    <w:rsid w:val="000C1ED8"/>
    <w:rsid w:val="000C2F7A"/>
    <w:rsid w:val="000C3138"/>
    <w:rsid w:val="000C3A95"/>
    <w:rsid w:val="000C4C45"/>
    <w:rsid w:val="000C514E"/>
    <w:rsid w:val="000C5475"/>
    <w:rsid w:val="000C581F"/>
    <w:rsid w:val="000C68B4"/>
    <w:rsid w:val="000C6FFB"/>
    <w:rsid w:val="000C7361"/>
    <w:rsid w:val="000C77C9"/>
    <w:rsid w:val="000C7D81"/>
    <w:rsid w:val="000D043A"/>
    <w:rsid w:val="000D05A8"/>
    <w:rsid w:val="000D0CFD"/>
    <w:rsid w:val="000D1411"/>
    <w:rsid w:val="000D33C9"/>
    <w:rsid w:val="000D3D48"/>
    <w:rsid w:val="000D3EBD"/>
    <w:rsid w:val="000D3F3D"/>
    <w:rsid w:val="000D4D7E"/>
    <w:rsid w:val="000D4E1E"/>
    <w:rsid w:val="000D4E97"/>
    <w:rsid w:val="000D594A"/>
    <w:rsid w:val="000D5CBA"/>
    <w:rsid w:val="000D670E"/>
    <w:rsid w:val="000D7001"/>
    <w:rsid w:val="000E181A"/>
    <w:rsid w:val="000E1BAC"/>
    <w:rsid w:val="000E3053"/>
    <w:rsid w:val="000E3FD1"/>
    <w:rsid w:val="000E4C20"/>
    <w:rsid w:val="000E68EF"/>
    <w:rsid w:val="000E6DEC"/>
    <w:rsid w:val="000E6EC5"/>
    <w:rsid w:val="000E7BF8"/>
    <w:rsid w:val="000F07B3"/>
    <w:rsid w:val="000F0B75"/>
    <w:rsid w:val="000F12C6"/>
    <w:rsid w:val="000F12E5"/>
    <w:rsid w:val="000F2538"/>
    <w:rsid w:val="000F26AE"/>
    <w:rsid w:val="000F2792"/>
    <w:rsid w:val="000F288E"/>
    <w:rsid w:val="000F3686"/>
    <w:rsid w:val="000F3BC5"/>
    <w:rsid w:val="000F4EDA"/>
    <w:rsid w:val="000F5594"/>
    <w:rsid w:val="000F62B2"/>
    <w:rsid w:val="000F6CAE"/>
    <w:rsid w:val="000F6CFA"/>
    <w:rsid w:val="000F747B"/>
    <w:rsid w:val="000F7495"/>
    <w:rsid w:val="000F76B9"/>
    <w:rsid w:val="000F7B24"/>
    <w:rsid w:val="000F7C19"/>
    <w:rsid w:val="00100860"/>
    <w:rsid w:val="00101B50"/>
    <w:rsid w:val="00104DE1"/>
    <w:rsid w:val="001054B0"/>
    <w:rsid w:val="00105801"/>
    <w:rsid w:val="001066DF"/>
    <w:rsid w:val="0010721B"/>
    <w:rsid w:val="0010746F"/>
    <w:rsid w:val="00111862"/>
    <w:rsid w:val="0011234B"/>
    <w:rsid w:val="00112544"/>
    <w:rsid w:val="0011275F"/>
    <w:rsid w:val="001135AF"/>
    <w:rsid w:val="00113882"/>
    <w:rsid w:val="00113E6A"/>
    <w:rsid w:val="001146E9"/>
    <w:rsid w:val="00114B17"/>
    <w:rsid w:val="00114CA9"/>
    <w:rsid w:val="00114E1D"/>
    <w:rsid w:val="001151CA"/>
    <w:rsid w:val="001157E6"/>
    <w:rsid w:val="00115EE6"/>
    <w:rsid w:val="00116D62"/>
    <w:rsid w:val="00117277"/>
    <w:rsid w:val="00117C31"/>
    <w:rsid w:val="00117F64"/>
    <w:rsid w:val="00120E81"/>
    <w:rsid w:val="00120F16"/>
    <w:rsid w:val="00120F7A"/>
    <w:rsid w:val="001210EB"/>
    <w:rsid w:val="00122C0F"/>
    <w:rsid w:val="001237D2"/>
    <w:rsid w:val="001243D2"/>
    <w:rsid w:val="00124AAF"/>
    <w:rsid w:val="00124C2B"/>
    <w:rsid w:val="001258BC"/>
    <w:rsid w:val="00125E30"/>
    <w:rsid w:val="001263AF"/>
    <w:rsid w:val="00126523"/>
    <w:rsid w:val="00126693"/>
    <w:rsid w:val="00126A68"/>
    <w:rsid w:val="001309A1"/>
    <w:rsid w:val="0013231E"/>
    <w:rsid w:val="00132398"/>
    <w:rsid w:val="001347B7"/>
    <w:rsid w:val="00134B42"/>
    <w:rsid w:val="00136022"/>
    <w:rsid w:val="00136C01"/>
    <w:rsid w:val="00136E2A"/>
    <w:rsid w:val="00137741"/>
    <w:rsid w:val="00137946"/>
    <w:rsid w:val="00137B35"/>
    <w:rsid w:val="00137F3A"/>
    <w:rsid w:val="00140568"/>
    <w:rsid w:val="001415B1"/>
    <w:rsid w:val="00143650"/>
    <w:rsid w:val="001469C8"/>
    <w:rsid w:val="00146CA0"/>
    <w:rsid w:val="00147783"/>
    <w:rsid w:val="0014778B"/>
    <w:rsid w:val="001478F0"/>
    <w:rsid w:val="00147961"/>
    <w:rsid w:val="0015067C"/>
    <w:rsid w:val="0015158C"/>
    <w:rsid w:val="00151969"/>
    <w:rsid w:val="00151C3D"/>
    <w:rsid w:val="001525E5"/>
    <w:rsid w:val="001538C0"/>
    <w:rsid w:val="00153E29"/>
    <w:rsid w:val="00153F5A"/>
    <w:rsid w:val="00153FA6"/>
    <w:rsid w:val="00154116"/>
    <w:rsid w:val="00154514"/>
    <w:rsid w:val="00154B9B"/>
    <w:rsid w:val="00155A67"/>
    <w:rsid w:val="00157213"/>
    <w:rsid w:val="00157611"/>
    <w:rsid w:val="001604A4"/>
    <w:rsid w:val="00160680"/>
    <w:rsid w:val="00160710"/>
    <w:rsid w:val="00161997"/>
    <w:rsid w:val="00161E54"/>
    <w:rsid w:val="001625B0"/>
    <w:rsid w:val="00162FB2"/>
    <w:rsid w:val="00163397"/>
    <w:rsid w:val="00164508"/>
    <w:rsid w:val="00164642"/>
    <w:rsid w:val="00164E86"/>
    <w:rsid w:val="001668CC"/>
    <w:rsid w:val="00166BE2"/>
    <w:rsid w:val="0016722C"/>
    <w:rsid w:val="00170F7C"/>
    <w:rsid w:val="001713E7"/>
    <w:rsid w:val="00171732"/>
    <w:rsid w:val="00171DFD"/>
    <w:rsid w:val="00172298"/>
    <w:rsid w:val="001724F3"/>
    <w:rsid w:val="001738FC"/>
    <w:rsid w:val="001739ED"/>
    <w:rsid w:val="001747C1"/>
    <w:rsid w:val="001751A8"/>
    <w:rsid w:val="00176B2A"/>
    <w:rsid w:val="00176E6E"/>
    <w:rsid w:val="00177407"/>
    <w:rsid w:val="001774C8"/>
    <w:rsid w:val="0018050B"/>
    <w:rsid w:val="001809ED"/>
    <w:rsid w:val="00182019"/>
    <w:rsid w:val="00182664"/>
    <w:rsid w:val="00182932"/>
    <w:rsid w:val="0018302A"/>
    <w:rsid w:val="00184CE7"/>
    <w:rsid w:val="00184DC2"/>
    <w:rsid w:val="001859FF"/>
    <w:rsid w:val="00185AA6"/>
    <w:rsid w:val="00186B8F"/>
    <w:rsid w:val="00187072"/>
    <w:rsid w:val="00187923"/>
    <w:rsid w:val="00190A0D"/>
    <w:rsid w:val="001911BD"/>
    <w:rsid w:val="00191829"/>
    <w:rsid w:val="00191DF7"/>
    <w:rsid w:val="001920D0"/>
    <w:rsid w:val="00192718"/>
    <w:rsid w:val="001928B7"/>
    <w:rsid w:val="00192969"/>
    <w:rsid w:val="001935CC"/>
    <w:rsid w:val="00194520"/>
    <w:rsid w:val="001945AA"/>
    <w:rsid w:val="00194802"/>
    <w:rsid w:val="00194E37"/>
    <w:rsid w:val="0019564A"/>
    <w:rsid w:val="00195C07"/>
    <w:rsid w:val="001968DC"/>
    <w:rsid w:val="001A0471"/>
    <w:rsid w:val="001A05F6"/>
    <w:rsid w:val="001A1A09"/>
    <w:rsid w:val="001A1B58"/>
    <w:rsid w:val="001A1DE1"/>
    <w:rsid w:val="001A2B5D"/>
    <w:rsid w:val="001A2DD6"/>
    <w:rsid w:val="001A345F"/>
    <w:rsid w:val="001A3E14"/>
    <w:rsid w:val="001A3E8E"/>
    <w:rsid w:val="001A4E75"/>
    <w:rsid w:val="001A58E6"/>
    <w:rsid w:val="001A6140"/>
    <w:rsid w:val="001A6461"/>
    <w:rsid w:val="001A6AB1"/>
    <w:rsid w:val="001A6C75"/>
    <w:rsid w:val="001A7178"/>
    <w:rsid w:val="001A7C16"/>
    <w:rsid w:val="001B0B25"/>
    <w:rsid w:val="001B1836"/>
    <w:rsid w:val="001B20BA"/>
    <w:rsid w:val="001B2122"/>
    <w:rsid w:val="001B34A4"/>
    <w:rsid w:val="001B3829"/>
    <w:rsid w:val="001B38B7"/>
    <w:rsid w:val="001B3D86"/>
    <w:rsid w:val="001B45E4"/>
    <w:rsid w:val="001B497B"/>
    <w:rsid w:val="001B70D2"/>
    <w:rsid w:val="001B7318"/>
    <w:rsid w:val="001B7B36"/>
    <w:rsid w:val="001B7E07"/>
    <w:rsid w:val="001C0117"/>
    <w:rsid w:val="001C067E"/>
    <w:rsid w:val="001C070B"/>
    <w:rsid w:val="001C11F0"/>
    <w:rsid w:val="001C1D70"/>
    <w:rsid w:val="001C1DA3"/>
    <w:rsid w:val="001C27D2"/>
    <w:rsid w:val="001C2F0E"/>
    <w:rsid w:val="001C3079"/>
    <w:rsid w:val="001C34CB"/>
    <w:rsid w:val="001C3871"/>
    <w:rsid w:val="001C6DA8"/>
    <w:rsid w:val="001C71CA"/>
    <w:rsid w:val="001C725A"/>
    <w:rsid w:val="001C79E2"/>
    <w:rsid w:val="001C7D4E"/>
    <w:rsid w:val="001D0134"/>
    <w:rsid w:val="001D0338"/>
    <w:rsid w:val="001D0433"/>
    <w:rsid w:val="001D0546"/>
    <w:rsid w:val="001D180B"/>
    <w:rsid w:val="001D1E75"/>
    <w:rsid w:val="001D26A2"/>
    <w:rsid w:val="001D2F75"/>
    <w:rsid w:val="001D327C"/>
    <w:rsid w:val="001D3EF2"/>
    <w:rsid w:val="001D42CE"/>
    <w:rsid w:val="001D49E1"/>
    <w:rsid w:val="001D4BEE"/>
    <w:rsid w:val="001D515C"/>
    <w:rsid w:val="001D61A9"/>
    <w:rsid w:val="001D68FD"/>
    <w:rsid w:val="001D6EE1"/>
    <w:rsid w:val="001D6EFF"/>
    <w:rsid w:val="001D72D7"/>
    <w:rsid w:val="001D79B1"/>
    <w:rsid w:val="001E09B6"/>
    <w:rsid w:val="001E0BFB"/>
    <w:rsid w:val="001E1B53"/>
    <w:rsid w:val="001E325A"/>
    <w:rsid w:val="001E43D5"/>
    <w:rsid w:val="001E473D"/>
    <w:rsid w:val="001E4B58"/>
    <w:rsid w:val="001E4DA6"/>
    <w:rsid w:val="001E5C26"/>
    <w:rsid w:val="001F01E8"/>
    <w:rsid w:val="001F1110"/>
    <w:rsid w:val="001F12FD"/>
    <w:rsid w:val="001F131A"/>
    <w:rsid w:val="001F1A26"/>
    <w:rsid w:val="001F269E"/>
    <w:rsid w:val="001F2D11"/>
    <w:rsid w:val="001F30A2"/>
    <w:rsid w:val="001F3150"/>
    <w:rsid w:val="001F3894"/>
    <w:rsid w:val="001F5C23"/>
    <w:rsid w:val="001F5E1D"/>
    <w:rsid w:val="001F6409"/>
    <w:rsid w:val="001F64EF"/>
    <w:rsid w:val="001F65F4"/>
    <w:rsid w:val="00200318"/>
    <w:rsid w:val="002029EF"/>
    <w:rsid w:val="00202F31"/>
    <w:rsid w:val="00203083"/>
    <w:rsid w:val="002046A4"/>
    <w:rsid w:val="002049A4"/>
    <w:rsid w:val="00204A09"/>
    <w:rsid w:val="00204F78"/>
    <w:rsid w:val="002058E5"/>
    <w:rsid w:val="00206154"/>
    <w:rsid w:val="002068BA"/>
    <w:rsid w:val="00210707"/>
    <w:rsid w:val="00210E78"/>
    <w:rsid w:val="00210E7E"/>
    <w:rsid w:val="00210F52"/>
    <w:rsid w:val="00210F9D"/>
    <w:rsid w:val="002114CC"/>
    <w:rsid w:val="00211995"/>
    <w:rsid w:val="002119A5"/>
    <w:rsid w:val="00212444"/>
    <w:rsid w:val="00212E30"/>
    <w:rsid w:val="002139E4"/>
    <w:rsid w:val="00214B97"/>
    <w:rsid w:val="00214DA0"/>
    <w:rsid w:val="0021639C"/>
    <w:rsid w:val="002163C2"/>
    <w:rsid w:val="002166CA"/>
    <w:rsid w:val="00217118"/>
    <w:rsid w:val="0021770F"/>
    <w:rsid w:val="00221353"/>
    <w:rsid w:val="00221433"/>
    <w:rsid w:val="0022148A"/>
    <w:rsid w:val="00221987"/>
    <w:rsid w:val="00221AB4"/>
    <w:rsid w:val="00221ED7"/>
    <w:rsid w:val="002220D2"/>
    <w:rsid w:val="00223F41"/>
    <w:rsid w:val="00226425"/>
    <w:rsid w:val="00226F85"/>
    <w:rsid w:val="0022716E"/>
    <w:rsid w:val="0022762E"/>
    <w:rsid w:val="00227829"/>
    <w:rsid w:val="00227872"/>
    <w:rsid w:val="0023001A"/>
    <w:rsid w:val="00230B35"/>
    <w:rsid w:val="00230CC1"/>
    <w:rsid w:val="00232005"/>
    <w:rsid w:val="0023229A"/>
    <w:rsid w:val="00232AD8"/>
    <w:rsid w:val="00232B44"/>
    <w:rsid w:val="00233869"/>
    <w:rsid w:val="002338B6"/>
    <w:rsid w:val="00233994"/>
    <w:rsid w:val="0023422D"/>
    <w:rsid w:val="0023461C"/>
    <w:rsid w:val="00234793"/>
    <w:rsid w:val="002356F5"/>
    <w:rsid w:val="00240B03"/>
    <w:rsid w:val="00241AAC"/>
    <w:rsid w:val="002421BD"/>
    <w:rsid w:val="0024301B"/>
    <w:rsid w:val="002432A6"/>
    <w:rsid w:val="00243380"/>
    <w:rsid w:val="00243393"/>
    <w:rsid w:val="00243860"/>
    <w:rsid w:val="002449FD"/>
    <w:rsid w:val="00244A1D"/>
    <w:rsid w:val="00244E9A"/>
    <w:rsid w:val="00244F18"/>
    <w:rsid w:val="00245FD6"/>
    <w:rsid w:val="00246768"/>
    <w:rsid w:val="00246910"/>
    <w:rsid w:val="00246B06"/>
    <w:rsid w:val="00247177"/>
    <w:rsid w:val="002472BC"/>
    <w:rsid w:val="00247382"/>
    <w:rsid w:val="002508B6"/>
    <w:rsid w:val="00251245"/>
    <w:rsid w:val="0025278B"/>
    <w:rsid w:val="00252A84"/>
    <w:rsid w:val="002534A0"/>
    <w:rsid w:val="0025413F"/>
    <w:rsid w:val="00254440"/>
    <w:rsid w:val="0025544C"/>
    <w:rsid w:val="00255B10"/>
    <w:rsid w:val="00255E00"/>
    <w:rsid w:val="0025705A"/>
    <w:rsid w:val="002609B4"/>
    <w:rsid w:val="00260B1D"/>
    <w:rsid w:val="00261BA3"/>
    <w:rsid w:val="00261CAE"/>
    <w:rsid w:val="00262590"/>
    <w:rsid w:val="00262A3A"/>
    <w:rsid w:val="0026323A"/>
    <w:rsid w:val="00263952"/>
    <w:rsid w:val="00263F42"/>
    <w:rsid w:val="00264895"/>
    <w:rsid w:val="002667FF"/>
    <w:rsid w:val="00267D13"/>
    <w:rsid w:val="00267DC2"/>
    <w:rsid w:val="00270185"/>
    <w:rsid w:val="00270BA3"/>
    <w:rsid w:val="00271213"/>
    <w:rsid w:val="00271C1E"/>
    <w:rsid w:val="0027282D"/>
    <w:rsid w:val="00273495"/>
    <w:rsid w:val="0027386F"/>
    <w:rsid w:val="00274687"/>
    <w:rsid w:val="002751F9"/>
    <w:rsid w:val="002762D6"/>
    <w:rsid w:val="002766B9"/>
    <w:rsid w:val="00277033"/>
    <w:rsid w:val="002770DB"/>
    <w:rsid w:val="0027746B"/>
    <w:rsid w:val="002814CF"/>
    <w:rsid w:val="002819D8"/>
    <w:rsid w:val="002822E8"/>
    <w:rsid w:val="0028554B"/>
    <w:rsid w:val="00286850"/>
    <w:rsid w:val="00290005"/>
    <w:rsid w:val="00290BD6"/>
    <w:rsid w:val="00291BAE"/>
    <w:rsid w:val="00291D39"/>
    <w:rsid w:val="002920D9"/>
    <w:rsid w:val="00292A96"/>
    <w:rsid w:val="00294011"/>
    <w:rsid w:val="002944CE"/>
    <w:rsid w:val="00294F3C"/>
    <w:rsid w:val="00295D69"/>
    <w:rsid w:val="0029612C"/>
    <w:rsid w:val="00296306"/>
    <w:rsid w:val="002967F0"/>
    <w:rsid w:val="00296E73"/>
    <w:rsid w:val="002970A9"/>
    <w:rsid w:val="00297121"/>
    <w:rsid w:val="0029716F"/>
    <w:rsid w:val="002974BF"/>
    <w:rsid w:val="00297628"/>
    <w:rsid w:val="00297B14"/>
    <w:rsid w:val="00297BF8"/>
    <w:rsid w:val="00297CA7"/>
    <w:rsid w:val="002A09FC"/>
    <w:rsid w:val="002A0CFF"/>
    <w:rsid w:val="002A11D2"/>
    <w:rsid w:val="002A1614"/>
    <w:rsid w:val="002A18B8"/>
    <w:rsid w:val="002A3060"/>
    <w:rsid w:val="002A34F1"/>
    <w:rsid w:val="002A3B6F"/>
    <w:rsid w:val="002A3EDA"/>
    <w:rsid w:val="002A4526"/>
    <w:rsid w:val="002A459B"/>
    <w:rsid w:val="002A50EC"/>
    <w:rsid w:val="002A55B7"/>
    <w:rsid w:val="002A5C73"/>
    <w:rsid w:val="002A6297"/>
    <w:rsid w:val="002A7422"/>
    <w:rsid w:val="002A7A8E"/>
    <w:rsid w:val="002A7F10"/>
    <w:rsid w:val="002B02FF"/>
    <w:rsid w:val="002B062D"/>
    <w:rsid w:val="002B1418"/>
    <w:rsid w:val="002B15B7"/>
    <w:rsid w:val="002B206E"/>
    <w:rsid w:val="002B4217"/>
    <w:rsid w:val="002B43C9"/>
    <w:rsid w:val="002B455F"/>
    <w:rsid w:val="002B4837"/>
    <w:rsid w:val="002B4BA7"/>
    <w:rsid w:val="002B5E0C"/>
    <w:rsid w:val="002B6D17"/>
    <w:rsid w:val="002B789A"/>
    <w:rsid w:val="002B7B21"/>
    <w:rsid w:val="002B7BD4"/>
    <w:rsid w:val="002C07A7"/>
    <w:rsid w:val="002C0997"/>
    <w:rsid w:val="002C09CB"/>
    <w:rsid w:val="002C27C2"/>
    <w:rsid w:val="002C27F9"/>
    <w:rsid w:val="002C35C2"/>
    <w:rsid w:val="002C3E18"/>
    <w:rsid w:val="002C474D"/>
    <w:rsid w:val="002C4885"/>
    <w:rsid w:val="002C4CB7"/>
    <w:rsid w:val="002C4D06"/>
    <w:rsid w:val="002C573D"/>
    <w:rsid w:val="002C6CD0"/>
    <w:rsid w:val="002C6FCC"/>
    <w:rsid w:val="002C7F16"/>
    <w:rsid w:val="002D0535"/>
    <w:rsid w:val="002D0AFB"/>
    <w:rsid w:val="002D1428"/>
    <w:rsid w:val="002D1430"/>
    <w:rsid w:val="002D1656"/>
    <w:rsid w:val="002D21E0"/>
    <w:rsid w:val="002D254E"/>
    <w:rsid w:val="002D2964"/>
    <w:rsid w:val="002D2B2C"/>
    <w:rsid w:val="002D3840"/>
    <w:rsid w:val="002D392A"/>
    <w:rsid w:val="002D467D"/>
    <w:rsid w:val="002D5041"/>
    <w:rsid w:val="002D5454"/>
    <w:rsid w:val="002D5933"/>
    <w:rsid w:val="002D60A6"/>
    <w:rsid w:val="002D6AF5"/>
    <w:rsid w:val="002D7310"/>
    <w:rsid w:val="002D7324"/>
    <w:rsid w:val="002D73AC"/>
    <w:rsid w:val="002E143E"/>
    <w:rsid w:val="002E2BE4"/>
    <w:rsid w:val="002E33CA"/>
    <w:rsid w:val="002E34E8"/>
    <w:rsid w:val="002E43CB"/>
    <w:rsid w:val="002E442A"/>
    <w:rsid w:val="002E4929"/>
    <w:rsid w:val="002E51F9"/>
    <w:rsid w:val="002E5470"/>
    <w:rsid w:val="002E7634"/>
    <w:rsid w:val="002E7B2B"/>
    <w:rsid w:val="002E7B5C"/>
    <w:rsid w:val="002F0753"/>
    <w:rsid w:val="002F07C3"/>
    <w:rsid w:val="002F0BB6"/>
    <w:rsid w:val="002F1640"/>
    <w:rsid w:val="002F175F"/>
    <w:rsid w:val="002F1B29"/>
    <w:rsid w:val="002F2EFE"/>
    <w:rsid w:val="002F3780"/>
    <w:rsid w:val="002F3825"/>
    <w:rsid w:val="002F3E05"/>
    <w:rsid w:val="002F4FCF"/>
    <w:rsid w:val="002F584E"/>
    <w:rsid w:val="002F6886"/>
    <w:rsid w:val="002F6A5A"/>
    <w:rsid w:val="002F6A8D"/>
    <w:rsid w:val="002F6ACD"/>
    <w:rsid w:val="002F755A"/>
    <w:rsid w:val="002F7FEF"/>
    <w:rsid w:val="003005D1"/>
    <w:rsid w:val="00300767"/>
    <w:rsid w:val="003007F7"/>
    <w:rsid w:val="00301812"/>
    <w:rsid w:val="00301D1A"/>
    <w:rsid w:val="00303E30"/>
    <w:rsid w:val="0030487F"/>
    <w:rsid w:val="00305493"/>
    <w:rsid w:val="00305AAE"/>
    <w:rsid w:val="003061A9"/>
    <w:rsid w:val="00307129"/>
    <w:rsid w:val="00307348"/>
    <w:rsid w:val="00310C7F"/>
    <w:rsid w:val="00310CA7"/>
    <w:rsid w:val="003114D6"/>
    <w:rsid w:val="003115BF"/>
    <w:rsid w:val="00311D9B"/>
    <w:rsid w:val="00311F37"/>
    <w:rsid w:val="00313CFF"/>
    <w:rsid w:val="00314F91"/>
    <w:rsid w:val="0031596E"/>
    <w:rsid w:val="00315EEB"/>
    <w:rsid w:val="00316D61"/>
    <w:rsid w:val="003200DF"/>
    <w:rsid w:val="00320128"/>
    <w:rsid w:val="0032074D"/>
    <w:rsid w:val="00320766"/>
    <w:rsid w:val="00320AD7"/>
    <w:rsid w:val="00320B72"/>
    <w:rsid w:val="003211E9"/>
    <w:rsid w:val="003212BF"/>
    <w:rsid w:val="00321F73"/>
    <w:rsid w:val="00322319"/>
    <w:rsid w:val="0032273C"/>
    <w:rsid w:val="00322C8C"/>
    <w:rsid w:val="003234E4"/>
    <w:rsid w:val="00323506"/>
    <w:rsid w:val="00323760"/>
    <w:rsid w:val="00325A33"/>
    <w:rsid w:val="003261B3"/>
    <w:rsid w:val="00326BB7"/>
    <w:rsid w:val="00326D4B"/>
    <w:rsid w:val="003274E4"/>
    <w:rsid w:val="00327AE4"/>
    <w:rsid w:val="00327BFC"/>
    <w:rsid w:val="00330132"/>
    <w:rsid w:val="003320F2"/>
    <w:rsid w:val="00332EB1"/>
    <w:rsid w:val="00333C86"/>
    <w:rsid w:val="00334582"/>
    <w:rsid w:val="00334998"/>
    <w:rsid w:val="00334A0E"/>
    <w:rsid w:val="00335173"/>
    <w:rsid w:val="003358B6"/>
    <w:rsid w:val="00335FBB"/>
    <w:rsid w:val="0033635D"/>
    <w:rsid w:val="00336514"/>
    <w:rsid w:val="00336621"/>
    <w:rsid w:val="00336B0E"/>
    <w:rsid w:val="00341841"/>
    <w:rsid w:val="00341BC5"/>
    <w:rsid w:val="00341F09"/>
    <w:rsid w:val="0034363B"/>
    <w:rsid w:val="0034446D"/>
    <w:rsid w:val="0034447A"/>
    <w:rsid w:val="0034544A"/>
    <w:rsid w:val="00345675"/>
    <w:rsid w:val="00345696"/>
    <w:rsid w:val="00346333"/>
    <w:rsid w:val="0034677E"/>
    <w:rsid w:val="00346D24"/>
    <w:rsid w:val="00346F61"/>
    <w:rsid w:val="00347B37"/>
    <w:rsid w:val="00347D64"/>
    <w:rsid w:val="00347DF9"/>
    <w:rsid w:val="00351D68"/>
    <w:rsid w:val="003528E7"/>
    <w:rsid w:val="00352F9C"/>
    <w:rsid w:val="003546E6"/>
    <w:rsid w:val="00355230"/>
    <w:rsid w:val="00355BA2"/>
    <w:rsid w:val="00355E7B"/>
    <w:rsid w:val="0035646F"/>
    <w:rsid w:val="00356C05"/>
    <w:rsid w:val="003600B4"/>
    <w:rsid w:val="00360606"/>
    <w:rsid w:val="00360A29"/>
    <w:rsid w:val="00361428"/>
    <w:rsid w:val="0036167C"/>
    <w:rsid w:val="00362A9F"/>
    <w:rsid w:val="00362E28"/>
    <w:rsid w:val="003630B0"/>
    <w:rsid w:val="003645DD"/>
    <w:rsid w:val="003647F0"/>
    <w:rsid w:val="00365CA0"/>
    <w:rsid w:val="0036678D"/>
    <w:rsid w:val="00366D31"/>
    <w:rsid w:val="00370E14"/>
    <w:rsid w:val="00370FCF"/>
    <w:rsid w:val="00371251"/>
    <w:rsid w:val="003719FB"/>
    <w:rsid w:val="0037277D"/>
    <w:rsid w:val="00372E4C"/>
    <w:rsid w:val="00373A29"/>
    <w:rsid w:val="00373EC9"/>
    <w:rsid w:val="003745AC"/>
    <w:rsid w:val="003745C1"/>
    <w:rsid w:val="003749C0"/>
    <w:rsid w:val="00374C4D"/>
    <w:rsid w:val="00374DC1"/>
    <w:rsid w:val="00374E69"/>
    <w:rsid w:val="003758F8"/>
    <w:rsid w:val="00375F49"/>
    <w:rsid w:val="00375F83"/>
    <w:rsid w:val="0037602A"/>
    <w:rsid w:val="003770A9"/>
    <w:rsid w:val="003771D8"/>
    <w:rsid w:val="0038021D"/>
    <w:rsid w:val="00380601"/>
    <w:rsid w:val="00381EBE"/>
    <w:rsid w:val="00382667"/>
    <w:rsid w:val="00382F58"/>
    <w:rsid w:val="003831A5"/>
    <w:rsid w:val="00383D2F"/>
    <w:rsid w:val="00384174"/>
    <w:rsid w:val="003841A3"/>
    <w:rsid w:val="003847DE"/>
    <w:rsid w:val="00386471"/>
    <w:rsid w:val="00386E30"/>
    <w:rsid w:val="00386EE4"/>
    <w:rsid w:val="0038703C"/>
    <w:rsid w:val="003870A5"/>
    <w:rsid w:val="003871CA"/>
    <w:rsid w:val="00387278"/>
    <w:rsid w:val="003902CA"/>
    <w:rsid w:val="0039067D"/>
    <w:rsid w:val="00390A67"/>
    <w:rsid w:val="00390B7C"/>
    <w:rsid w:val="00391490"/>
    <w:rsid w:val="0039167A"/>
    <w:rsid w:val="00392086"/>
    <w:rsid w:val="003926C6"/>
    <w:rsid w:val="003937D3"/>
    <w:rsid w:val="00393B50"/>
    <w:rsid w:val="00393D3B"/>
    <w:rsid w:val="003954E8"/>
    <w:rsid w:val="0039582B"/>
    <w:rsid w:val="00396253"/>
    <w:rsid w:val="00396A8A"/>
    <w:rsid w:val="003A0141"/>
    <w:rsid w:val="003A132E"/>
    <w:rsid w:val="003A201D"/>
    <w:rsid w:val="003A29C8"/>
    <w:rsid w:val="003A375E"/>
    <w:rsid w:val="003A3B8D"/>
    <w:rsid w:val="003A4881"/>
    <w:rsid w:val="003A4AFB"/>
    <w:rsid w:val="003A6329"/>
    <w:rsid w:val="003A6A0D"/>
    <w:rsid w:val="003A6E1D"/>
    <w:rsid w:val="003A74C3"/>
    <w:rsid w:val="003A7FCE"/>
    <w:rsid w:val="003B099C"/>
    <w:rsid w:val="003B1079"/>
    <w:rsid w:val="003B13E8"/>
    <w:rsid w:val="003B1C5E"/>
    <w:rsid w:val="003B1E4D"/>
    <w:rsid w:val="003B2247"/>
    <w:rsid w:val="003B2298"/>
    <w:rsid w:val="003B2309"/>
    <w:rsid w:val="003B2D46"/>
    <w:rsid w:val="003B3391"/>
    <w:rsid w:val="003B35B7"/>
    <w:rsid w:val="003B3672"/>
    <w:rsid w:val="003B3E33"/>
    <w:rsid w:val="003B54AF"/>
    <w:rsid w:val="003B54CF"/>
    <w:rsid w:val="003B601D"/>
    <w:rsid w:val="003B64F3"/>
    <w:rsid w:val="003B67BB"/>
    <w:rsid w:val="003B6EF5"/>
    <w:rsid w:val="003B74FB"/>
    <w:rsid w:val="003B78BB"/>
    <w:rsid w:val="003B7ADB"/>
    <w:rsid w:val="003C0AC3"/>
    <w:rsid w:val="003C0E81"/>
    <w:rsid w:val="003C11BD"/>
    <w:rsid w:val="003C1352"/>
    <w:rsid w:val="003C1629"/>
    <w:rsid w:val="003C184C"/>
    <w:rsid w:val="003C19E1"/>
    <w:rsid w:val="003C1C6F"/>
    <w:rsid w:val="003C1E5F"/>
    <w:rsid w:val="003C2533"/>
    <w:rsid w:val="003C2AB5"/>
    <w:rsid w:val="003C2D60"/>
    <w:rsid w:val="003C2F59"/>
    <w:rsid w:val="003C3BC3"/>
    <w:rsid w:val="003C3BE2"/>
    <w:rsid w:val="003C3F14"/>
    <w:rsid w:val="003C4BD3"/>
    <w:rsid w:val="003C61C0"/>
    <w:rsid w:val="003C6419"/>
    <w:rsid w:val="003D13A9"/>
    <w:rsid w:val="003D1509"/>
    <w:rsid w:val="003D1D30"/>
    <w:rsid w:val="003D2247"/>
    <w:rsid w:val="003D2B0E"/>
    <w:rsid w:val="003D30B8"/>
    <w:rsid w:val="003D4828"/>
    <w:rsid w:val="003D5D07"/>
    <w:rsid w:val="003D60DB"/>
    <w:rsid w:val="003D6E26"/>
    <w:rsid w:val="003D768E"/>
    <w:rsid w:val="003D7C57"/>
    <w:rsid w:val="003D7D00"/>
    <w:rsid w:val="003E04D9"/>
    <w:rsid w:val="003E1212"/>
    <w:rsid w:val="003E16EE"/>
    <w:rsid w:val="003E1C46"/>
    <w:rsid w:val="003E2AB7"/>
    <w:rsid w:val="003E2D6C"/>
    <w:rsid w:val="003E3754"/>
    <w:rsid w:val="003E4919"/>
    <w:rsid w:val="003E548B"/>
    <w:rsid w:val="003E571F"/>
    <w:rsid w:val="003E5F2A"/>
    <w:rsid w:val="003E600B"/>
    <w:rsid w:val="003E70FC"/>
    <w:rsid w:val="003F006F"/>
    <w:rsid w:val="003F11F9"/>
    <w:rsid w:val="003F18DC"/>
    <w:rsid w:val="003F1B44"/>
    <w:rsid w:val="003F2FD0"/>
    <w:rsid w:val="003F30D6"/>
    <w:rsid w:val="003F3A8B"/>
    <w:rsid w:val="003F3AC7"/>
    <w:rsid w:val="003F40B1"/>
    <w:rsid w:val="003F4630"/>
    <w:rsid w:val="003F496C"/>
    <w:rsid w:val="003F526A"/>
    <w:rsid w:val="003F56B3"/>
    <w:rsid w:val="003F6680"/>
    <w:rsid w:val="003F69C8"/>
    <w:rsid w:val="003F6C10"/>
    <w:rsid w:val="0040051A"/>
    <w:rsid w:val="00400688"/>
    <w:rsid w:val="00400744"/>
    <w:rsid w:val="004009AA"/>
    <w:rsid w:val="00400EBA"/>
    <w:rsid w:val="00400FE0"/>
    <w:rsid w:val="00401575"/>
    <w:rsid w:val="00401F8E"/>
    <w:rsid w:val="004025EB"/>
    <w:rsid w:val="00402858"/>
    <w:rsid w:val="004028B3"/>
    <w:rsid w:val="00402ACB"/>
    <w:rsid w:val="004039A2"/>
    <w:rsid w:val="0040522F"/>
    <w:rsid w:val="004054A3"/>
    <w:rsid w:val="00405E46"/>
    <w:rsid w:val="0040620C"/>
    <w:rsid w:val="0040688A"/>
    <w:rsid w:val="00406BCE"/>
    <w:rsid w:val="00406BDF"/>
    <w:rsid w:val="00406DBF"/>
    <w:rsid w:val="004078BB"/>
    <w:rsid w:val="004102E0"/>
    <w:rsid w:val="00410359"/>
    <w:rsid w:val="00410C55"/>
    <w:rsid w:val="00410F01"/>
    <w:rsid w:val="0041147F"/>
    <w:rsid w:val="004114FC"/>
    <w:rsid w:val="004123C3"/>
    <w:rsid w:val="00412822"/>
    <w:rsid w:val="00412EA0"/>
    <w:rsid w:val="0041380E"/>
    <w:rsid w:val="00413C20"/>
    <w:rsid w:val="00413C62"/>
    <w:rsid w:val="004143A2"/>
    <w:rsid w:val="004146CE"/>
    <w:rsid w:val="00414B65"/>
    <w:rsid w:val="00415546"/>
    <w:rsid w:val="0041647E"/>
    <w:rsid w:val="0041685D"/>
    <w:rsid w:val="00416E3D"/>
    <w:rsid w:val="004172AD"/>
    <w:rsid w:val="00420190"/>
    <w:rsid w:val="004231EB"/>
    <w:rsid w:val="004242A7"/>
    <w:rsid w:val="004246E2"/>
    <w:rsid w:val="00424959"/>
    <w:rsid w:val="004250D8"/>
    <w:rsid w:val="004250F4"/>
    <w:rsid w:val="00425295"/>
    <w:rsid w:val="0042531A"/>
    <w:rsid w:val="00426174"/>
    <w:rsid w:val="004263B6"/>
    <w:rsid w:val="00426630"/>
    <w:rsid w:val="00426638"/>
    <w:rsid w:val="004277BE"/>
    <w:rsid w:val="00427C6F"/>
    <w:rsid w:val="004301F7"/>
    <w:rsid w:val="004320F8"/>
    <w:rsid w:val="004322D9"/>
    <w:rsid w:val="004323D9"/>
    <w:rsid w:val="004338A6"/>
    <w:rsid w:val="0043394E"/>
    <w:rsid w:val="00435FB7"/>
    <w:rsid w:val="00436174"/>
    <w:rsid w:val="00437BDD"/>
    <w:rsid w:val="00440ADF"/>
    <w:rsid w:val="0044149A"/>
    <w:rsid w:val="00442613"/>
    <w:rsid w:val="004427D6"/>
    <w:rsid w:val="00442B01"/>
    <w:rsid w:val="004443E1"/>
    <w:rsid w:val="004446A4"/>
    <w:rsid w:val="00445590"/>
    <w:rsid w:val="00446895"/>
    <w:rsid w:val="004468E2"/>
    <w:rsid w:val="00446EB9"/>
    <w:rsid w:val="00446FA4"/>
    <w:rsid w:val="004479BF"/>
    <w:rsid w:val="0045072D"/>
    <w:rsid w:val="004508A9"/>
    <w:rsid w:val="004510B7"/>
    <w:rsid w:val="004518E4"/>
    <w:rsid w:val="00451DDF"/>
    <w:rsid w:val="00452474"/>
    <w:rsid w:val="00452721"/>
    <w:rsid w:val="00452738"/>
    <w:rsid w:val="00453839"/>
    <w:rsid w:val="00453A6E"/>
    <w:rsid w:val="00453ADC"/>
    <w:rsid w:val="00454036"/>
    <w:rsid w:val="00454388"/>
    <w:rsid w:val="004560DA"/>
    <w:rsid w:val="004568A4"/>
    <w:rsid w:val="004571D6"/>
    <w:rsid w:val="0045736F"/>
    <w:rsid w:val="00457B4E"/>
    <w:rsid w:val="00461673"/>
    <w:rsid w:val="004619C0"/>
    <w:rsid w:val="00461B16"/>
    <w:rsid w:val="00461B5A"/>
    <w:rsid w:val="004620D1"/>
    <w:rsid w:val="004635C6"/>
    <w:rsid w:val="0046427F"/>
    <w:rsid w:val="00464538"/>
    <w:rsid w:val="00464A81"/>
    <w:rsid w:val="0046636C"/>
    <w:rsid w:val="00470759"/>
    <w:rsid w:val="00470C6A"/>
    <w:rsid w:val="00471BAC"/>
    <w:rsid w:val="00472012"/>
    <w:rsid w:val="00472236"/>
    <w:rsid w:val="004724FF"/>
    <w:rsid w:val="00472996"/>
    <w:rsid w:val="004742EE"/>
    <w:rsid w:val="00474C80"/>
    <w:rsid w:val="00474EE2"/>
    <w:rsid w:val="00475610"/>
    <w:rsid w:val="004758C0"/>
    <w:rsid w:val="0047594B"/>
    <w:rsid w:val="004761CF"/>
    <w:rsid w:val="00476AE0"/>
    <w:rsid w:val="00476D08"/>
    <w:rsid w:val="00476DA8"/>
    <w:rsid w:val="004773E9"/>
    <w:rsid w:val="004776E6"/>
    <w:rsid w:val="00477C2E"/>
    <w:rsid w:val="0048036E"/>
    <w:rsid w:val="00480C24"/>
    <w:rsid w:val="00481EC1"/>
    <w:rsid w:val="004828DC"/>
    <w:rsid w:val="00482B26"/>
    <w:rsid w:val="0048306A"/>
    <w:rsid w:val="0048319E"/>
    <w:rsid w:val="00483971"/>
    <w:rsid w:val="004844A6"/>
    <w:rsid w:val="00484BA8"/>
    <w:rsid w:val="0048733C"/>
    <w:rsid w:val="004873F4"/>
    <w:rsid w:val="00490779"/>
    <w:rsid w:val="00490978"/>
    <w:rsid w:val="004909DC"/>
    <w:rsid w:val="00491201"/>
    <w:rsid w:val="0049163C"/>
    <w:rsid w:val="004918A3"/>
    <w:rsid w:val="0049291F"/>
    <w:rsid w:val="00492B01"/>
    <w:rsid w:val="0049365D"/>
    <w:rsid w:val="00493F2B"/>
    <w:rsid w:val="004943EA"/>
    <w:rsid w:val="00494435"/>
    <w:rsid w:val="00494496"/>
    <w:rsid w:val="00494AF6"/>
    <w:rsid w:val="004956F4"/>
    <w:rsid w:val="00495D70"/>
    <w:rsid w:val="004964EF"/>
    <w:rsid w:val="004966A9"/>
    <w:rsid w:val="00497091"/>
    <w:rsid w:val="00497988"/>
    <w:rsid w:val="00497A56"/>
    <w:rsid w:val="004A0338"/>
    <w:rsid w:val="004A0ED5"/>
    <w:rsid w:val="004A13A2"/>
    <w:rsid w:val="004A16F9"/>
    <w:rsid w:val="004A2333"/>
    <w:rsid w:val="004A24FB"/>
    <w:rsid w:val="004A2C8F"/>
    <w:rsid w:val="004A35E8"/>
    <w:rsid w:val="004A3B2C"/>
    <w:rsid w:val="004A3F1E"/>
    <w:rsid w:val="004A44F1"/>
    <w:rsid w:val="004A4878"/>
    <w:rsid w:val="004A4CD5"/>
    <w:rsid w:val="004A5CD4"/>
    <w:rsid w:val="004A5D3B"/>
    <w:rsid w:val="004A5DAB"/>
    <w:rsid w:val="004B0333"/>
    <w:rsid w:val="004B11F8"/>
    <w:rsid w:val="004B16CB"/>
    <w:rsid w:val="004B1A4D"/>
    <w:rsid w:val="004B2681"/>
    <w:rsid w:val="004B381C"/>
    <w:rsid w:val="004B39DF"/>
    <w:rsid w:val="004B3E5D"/>
    <w:rsid w:val="004B4496"/>
    <w:rsid w:val="004B4756"/>
    <w:rsid w:val="004B5374"/>
    <w:rsid w:val="004B5A26"/>
    <w:rsid w:val="004B5D53"/>
    <w:rsid w:val="004B76A6"/>
    <w:rsid w:val="004B7873"/>
    <w:rsid w:val="004C0474"/>
    <w:rsid w:val="004C146C"/>
    <w:rsid w:val="004C19C9"/>
    <w:rsid w:val="004C1DB1"/>
    <w:rsid w:val="004C20FC"/>
    <w:rsid w:val="004C2A4B"/>
    <w:rsid w:val="004C2B16"/>
    <w:rsid w:val="004C2DEE"/>
    <w:rsid w:val="004C2F65"/>
    <w:rsid w:val="004C3916"/>
    <w:rsid w:val="004C45AB"/>
    <w:rsid w:val="004C4B31"/>
    <w:rsid w:val="004C4B43"/>
    <w:rsid w:val="004C4F2F"/>
    <w:rsid w:val="004C55B8"/>
    <w:rsid w:val="004C5DC1"/>
    <w:rsid w:val="004C6B1D"/>
    <w:rsid w:val="004C708C"/>
    <w:rsid w:val="004C76CC"/>
    <w:rsid w:val="004C7D22"/>
    <w:rsid w:val="004D0749"/>
    <w:rsid w:val="004D0DB6"/>
    <w:rsid w:val="004D1E8E"/>
    <w:rsid w:val="004D1F35"/>
    <w:rsid w:val="004D22C6"/>
    <w:rsid w:val="004D3025"/>
    <w:rsid w:val="004D4901"/>
    <w:rsid w:val="004D57A0"/>
    <w:rsid w:val="004D5CC9"/>
    <w:rsid w:val="004D690B"/>
    <w:rsid w:val="004D7AC1"/>
    <w:rsid w:val="004D7EFF"/>
    <w:rsid w:val="004E025C"/>
    <w:rsid w:val="004E03AC"/>
    <w:rsid w:val="004E0DA9"/>
    <w:rsid w:val="004E17D5"/>
    <w:rsid w:val="004E18F5"/>
    <w:rsid w:val="004E256F"/>
    <w:rsid w:val="004E26E5"/>
    <w:rsid w:val="004E2D91"/>
    <w:rsid w:val="004E3651"/>
    <w:rsid w:val="004E491E"/>
    <w:rsid w:val="004E4CAD"/>
    <w:rsid w:val="004E4EB7"/>
    <w:rsid w:val="004E676C"/>
    <w:rsid w:val="004E73C4"/>
    <w:rsid w:val="004F03AB"/>
    <w:rsid w:val="004F1B8C"/>
    <w:rsid w:val="004F29CC"/>
    <w:rsid w:val="004F2BC7"/>
    <w:rsid w:val="004F44D0"/>
    <w:rsid w:val="004F4A7A"/>
    <w:rsid w:val="004F5030"/>
    <w:rsid w:val="004F5CDA"/>
    <w:rsid w:val="004F5D3B"/>
    <w:rsid w:val="004F6B5E"/>
    <w:rsid w:val="004F6E75"/>
    <w:rsid w:val="004F758F"/>
    <w:rsid w:val="004F7F0B"/>
    <w:rsid w:val="004F7FC3"/>
    <w:rsid w:val="00500771"/>
    <w:rsid w:val="00501A6F"/>
    <w:rsid w:val="005029D7"/>
    <w:rsid w:val="00503D6E"/>
    <w:rsid w:val="005041EA"/>
    <w:rsid w:val="00504328"/>
    <w:rsid w:val="0050497D"/>
    <w:rsid w:val="00504D86"/>
    <w:rsid w:val="005055F3"/>
    <w:rsid w:val="00505E2A"/>
    <w:rsid w:val="00505E69"/>
    <w:rsid w:val="00505E91"/>
    <w:rsid w:val="00506347"/>
    <w:rsid w:val="00506B36"/>
    <w:rsid w:val="00506C28"/>
    <w:rsid w:val="00507E00"/>
    <w:rsid w:val="00507E1E"/>
    <w:rsid w:val="00511620"/>
    <w:rsid w:val="00511822"/>
    <w:rsid w:val="00511F19"/>
    <w:rsid w:val="005120B2"/>
    <w:rsid w:val="0051255B"/>
    <w:rsid w:val="005133F4"/>
    <w:rsid w:val="00513638"/>
    <w:rsid w:val="00513832"/>
    <w:rsid w:val="005138E9"/>
    <w:rsid w:val="00515CEF"/>
    <w:rsid w:val="005165ED"/>
    <w:rsid w:val="005169DB"/>
    <w:rsid w:val="00517B60"/>
    <w:rsid w:val="0052009C"/>
    <w:rsid w:val="00520B37"/>
    <w:rsid w:val="00520DFB"/>
    <w:rsid w:val="00520EF5"/>
    <w:rsid w:val="00520EF9"/>
    <w:rsid w:val="0052152F"/>
    <w:rsid w:val="00521D31"/>
    <w:rsid w:val="00522187"/>
    <w:rsid w:val="005226B6"/>
    <w:rsid w:val="0052299F"/>
    <w:rsid w:val="00523414"/>
    <w:rsid w:val="0052372C"/>
    <w:rsid w:val="005239A5"/>
    <w:rsid w:val="00523C0E"/>
    <w:rsid w:val="00524145"/>
    <w:rsid w:val="00524495"/>
    <w:rsid w:val="005250B7"/>
    <w:rsid w:val="00525A3B"/>
    <w:rsid w:val="00526911"/>
    <w:rsid w:val="0052753F"/>
    <w:rsid w:val="00530062"/>
    <w:rsid w:val="0053028B"/>
    <w:rsid w:val="0053072D"/>
    <w:rsid w:val="00530EAC"/>
    <w:rsid w:val="005310D8"/>
    <w:rsid w:val="00531176"/>
    <w:rsid w:val="005316F0"/>
    <w:rsid w:val="00531BC8"/>
    <w:rsid w:val="0053318D"/>
    <w:rsid w:val="005341E2"/>
    <w:rsid w:val="00534319"/>
    <w:rsid w:val="00534706"/>
    <w:rsid w:val="00534738"/>
    <w:rsid w:val="00534930"/>
    <w:rsid w:val="005356C2"/>
    <w:rsid w:val="005367FD"/>
    <w:rsid w:val="00540423"/>
    <w:rsid w:val="005408BF"/>
    <w:rsid w:val="00540D1C"/>
    <w:rsid w:val="00540E6D"/>
    <w:rsid w:val="0054101C"/>
    <w:rsid w:val="00541105"/>
    <w:rsid w:val="00541192"/>
    <w:rsid w:val="005428A9"/>
    <w:rsid w:val="0054366A"/>
    <w:rsid w:val="00543D45"/>
    <w:rsid w:val="0054440E"/>
    <w:rsid w:val="00544A52"/>
    <w:rsid w:val="00544C6D"/>
    <w:rsid w:val="0054546F"/>
    <w:rsid w:val="00546070"/>
    <w:rsid w:val="00547083"/>
    <w:rsid w:val="00547464"/>
    <w:rsid w:val="00550779"/>
    <w:rsid w:val="005513D4"/>
    <w:rsid w:val="00551795"/>
    <w:rsid w:val="00551D0E"/>
    <w:rsid w:val="00553442"/>
    <w:rsid w:val="00553657"/>
    <w:rsid w:val="00555C97"/>
    <w:rsid w:val="00556940"/>
    <w:rsid w:val="0055715E"/>
    <w:rsid w:val="005574F2"/>
    <w:rsid w:val="00557EEF"/>
    <w:rsid w:val="00561768"/>
    <w:rsid w:val="00561F9D"/>
    <w:rsid w:val="00563181"/>
    <w:rsid w:val="0056346C"/>
    <w:rsid w:val="005634A0"/>
    <w:rsid w:val="00563B43"/>
    <w:rsid w:val="00563BE4"/>
    <w:rsid w:val="00563D65"/>
    <w:rsid w:val="00564035"/>
    <w:rsid w:val="00565815"/>
    <w:rsid w:val="00566008"/>
    <w:rsid w:val="00566A15"/>
    <w:rsid w:val="00566F29"/>
    <w:rsid w:val="0056737C"/>
    <w:rsid w:val="0056796A"/>
    <w:rsid w:val="00567C98"/>
    <w:rsid w:val="00570035"/>
    <w:rsid w:val="0057022E"/>
    <w:rsid w:val="005725F2"/>
    <w:rsid w:val="005728D8"/>
    <w:rsid w:val="00572DE0"/>
    <w:rsid w:val="0057427F"/>
    <w:rsid w:val="005749FB"/>
    <w:rsid w:val="0057582A"/>
    <w:rsid w:val="00575B08"/>
    <w:rsid w:val="00576196"/>
    <w:rsid w:val="00576572"/>
    <w:rsid w:val="00576BA9"/>
    <w:rsid w:val="005773EE"/>
    <w:rsid w:val="00580A66"/>
    <w:rsid w:val="005810BA"/>
    <w:rsid w:val="0058130D"/>
    <w:rsid w:val="00581C41"/>
    <w:rsid w:val="005832F5"/>
    <w:rsid w:val="00583499"/>
    <w:rsid w:val="00583E5A"/>
    <w:rsid w:val="005846E3"/>
    <w:rsid w:val="00585B19"/>
    <w:rsid w:val="00585FBF"/>
    <w:rsid w:val="00586234"/>
    <w:rsid w:val="00586917"/>
    <w:rsid w:val="0058758F"/>
    <w:rsid w:val="005900ED"/>
    <w:rsid w:val="00590930"/>
    <w:rsid w:val="00591005"/>
    <w:rsid w:val="005914A2"/>
    <w:rsid w:val="00591907"/>
    <w:rsid w:val="00591F52"/>
    <w:rsid w:val="00592492"/>
    <w:rsid w:val="00592A7D"/>
    <w:rsid w:val="005931CF"/>
    <w:rsid w:val="0059413E"/>
    <w:rsid w:val="00594780"/>
    <w:rsid w:val="00595926"/>
    <w:rsid w:val="00596536"/>
    <w:rsid w:val="00597D29"/>
    <w:rsid w:val="00597EC8"/>
    <w:rsid w:val="005A046E"/>
    <w:rsid w:val="005A0659"/>
    <w:rsid w:val="005A0C3D"/>
    <w:rsid w:val="005A0F49"/>
    <w:rsid w:val="005A21E4"/>
    <w:rsid w:val="005A2A97"/>
    <w:rsid w:val="005A31D8"/>
    <w:rsid w:val="005A3B51"/>
    <w:rsid w:val="005A3B5C"/>
    <w:rsid w:val="005A4B2B"/>
    <w:rsid w:val="005A4CE6"/>
    <w:rsid w:val="005A545A"/>
    <w:rsid w:val="005A6CD6"/>
    <w:rsid w:val="005A6CE2"/>
    <w:rsid w:val="005A75C4"/>
    <w:rsid w:val="005A7884"/>
    <w:rsid w:val="005A7B7F"/>
    <w:rsid w:val="005B0DC8"/>
    <w:rsid w:val="005B1B34"/>
    <w:rsid w:val="005B26CB"/>
    <w:rsid w:val="005B32E6"/>
    <w:rsid w:val="005B33BE"/>
    <w:rsid w:val="005B34B4"/>
    <w:rsid w:val="005B3D46"/>
    <w:rsid w:val="005B4E8B"/>
    <w:rsid w:val="005B51FA"/>
    <w:rsid w:val="005B5FBD"/>
    <w:rsid w:val="005B615C"/>
    <w:rsid w:val="005B6607"/>
    <w:rsid w:val="005B66A6"/>
    <w:rsid w:val="005B725E"/>
    <w:rsid w:val="005B7B44"/>
    <w:rsid w:val="005B7D5D"/>
    <w:rsid w:val="005C042B"/>
    <w:rsid w:val="005C0B64"/>
    <w:rsid w:val="005C0CF0"/>
    <w:rsid w:val="005C1052"/>
    <w:rsid w:val="005C20A9"/>
    <w:rsid w:val="005C59B2"/>
    <w:rsid w:val="005C5D21"/>
    <w:rsid w:val="005C636A"/>
    <w:rsid w:val="005C651B"/>
    <w:rsid w:val="005C6623"/>
    <w:rsid w:val="005C6B15"/>
    <w:rsid w:val="005C6E00"/>
    <w:rsid w:val="005C7AAB"/>
    <w:rsid w:val="005D03F5"/>
    <w:rsid w:val="005D1164"/>
    <w:rsid w:val="005D166E"/>
    <w:rsid w:val="005D2116"/>
    <w:rsid w:val="005D2AD6"/>
    <w:rsid w:val="005D35AA"/>
    <w:rsid w:val="005D3DE0"/>
    <w:rsid w:val="005D4526"/>
    <w:rsid w:val="005D49AF"/>
    <w:rsid w:val="005D4B68"/>
    <w:rsid w:val="005D4F0B"/>
    <w:rsid w:val="005D5539"/>
    <w:rsid w:val="005D59CF"/>
    <w:rsid w:val="005D5C80"/>
    <w:rsid w:val="005D6218"/>
    <w:rsid w:val="005D6812"/>
    <w:rsid w:val="005D6826"/>
    <w:rsid w:val="005D7045"/>
    <w:rsid w:val="005D708E"/>
    <w:rsid w:val="005E146D"/>
    <w:rsid w:val="005E2D51"/>
    <w:rsid w:val="005E3183"/>
    <w:rsid w:val="005E33F6"/>
    <w:rsid w:val="005E37E1"/>
    <w:rsid w:val="005E467C"/>
    <w:rsid w:val="005E4810"/>
    <w:rsid w:val="005E488A"/>
    <w:rsid w:val="005E4B4E"/>
    <w:rsid w:val="005E4C8B"/>
    <w:rsid w:val="005E4E2D"/>
    <w:rsid w:val="005E5021"/>
    <w:rsid w:val="005E55A3"/>
    <w:rsid w:val="005E57C8"/>
    <w:rsid w:val="005E63A1"/>
    <w:rsid w:val="005E65C0"/>
    <w:rsid w:val="005E73F5"/>
    <w:rsid w:val="005E74AF"/>
    <w:rsid w:val="005E766A"/>
    <w:rsid w:val="005F0338"/>
    <w:rsid w:val="005F14E4"/>
    <w:rsid w:val="005F1F69"/>
    <w:rsid w:val="005F2A40"/>
    <w:rsid w:val="005F31D3"/>
    <w:rsid w:val="005F399B"/>
    <w:rsid w:val="005F56C7"/>
    <w:rsid w:val="005F5E23"/>
    <w:rsid w:val="005F6003"/>
    <w:rsid w:val="005F610A"/>
    <w:rsid w:val="005F610C"/>
    <w:rsid w:val="005F6371"/>
    <w:rsid w:val="005F7AC3"/>
    <w:rsid w:val="005F7DC4"/>
    <w:rsid w:val="00600E71"/>
    <w:rsid w:val="006010D6"/>
    <w:rsid w:val="006016A4"/>
    <w:rsid w:val="00601D13"/>
    <w:rsid w:val="006023F5"/>
    <w:rsid w:val="00602653"/>
    <w:rsid w:val="00603A74"/>
    <w:rsid w:val="00603AF2"/>
    <w:rsid w:val="00603D2B"/>
    <w:rsid w:val="00604146"/>
    <w:rsid w:val="00604516"/>
    <w:rsid w:val="00605460"/>
    <w:rsid w:val="00605F47"/>
    <w:rsid w:val="00605F81"/>
    <w:rsid w:val="00606D54"/>
    <w:rsid w:val="00607426"/>
    <w:rsid w:val="00607CCC"/>
    <w:rsid w:val="00610143"/>
    <w:rsid w:val="00610206"/>
    <w:rsid w:val="006117A2"/>
    <w:rsid w:val="0061255E"/>
    <w:rsid w:val="0061283F"/>
    <w:rsid w:val="00612A16"/>
    <w:rsid w:val="00612D68"/>
    <w:rsid w:val="00612FE9"/>
    <w:rsid w:val="00613C2A"/>
    <w:rsid w:val="00613D11"/>
    <w:rsid w:val="0061492A"/>
    <w:rsid w:val="0061493F"/>
    <w:rsid w:val="00615415"/>
    <w:rsid w:val="00615672"/>
    <w:rsid w:val="0061620C"/>
    <w:rsid w:val="006164E3"/>
    <w:rsid w:val="00617CBD"/>
    <w:rsid w:val="00617D80"/>
    <w:rsid w:val="006207BA"/>
    <w:rsid w:val="006208FE"/>
    <w:rsid w:val="0062192F"/>
    <w:rsid w:val="00621FE7"/>
    <w:rsid w:val="00622ABA"/>
    <w:rsid w:val="0062300F"/>
    <w:rsid w:val="00623ABD"/>
    <w:rsid w:val="00623E79"/>
    <w:rsid w:val="006255AB"/>
    <w:rsid w:val="006264D9"/>
    <w:rsid w:val="006268EA"/>
    <w:rsid w:val="00626B3E"/>
    <w:rsid w:val="00626B9C"/>
    <w:rsid w:val="00627BCF"/>
    <w:rsid w:val="00627ED7"/>
    <w:rsid w:val="00630864"/>
    <w:rsid w:val="006310BA"/>
    <w:rsid w:val="006313AF"/>
    <w:rsid w:val="0063164F"/>
    <w:rsid w:val="006317E7"/>
    <w:rsid w:val="006327AF"/>
    <w:rsid w:val="00632A0E"/>
    <w:rsid w:val="00633676"/>
    <w:rsid w:val="00635C61"/>
    <w:rsid w:val="00636FBE"/>
    <w:rsid w:val="0063718A"/>
    <w:rsid w:val="00637AF9"/>
    <w:rsid w:val="00637E0D"/>
    <w:rsid w:val="00637E44"/>
    <w:rsid w:val="00637E76"/>
    <w:rsid w:val="006415D8"/>
    <w:rsid w:val="00642123"/>
    <w:rsid w:val="00643A4C"/>
    <w:rsid w:val="00645703"/>
    <w:rsid w:val="006461CE"/>
    <w:rsid w:val="00646C00"/>
    <w:rsid w:val="00647D61"/>
    <w:rsid w:val="00650341"/>
    <w:rsid w:val="00653843"/>
    <w:rsid w:val="00653B14"/>
    <w:rsid w:val="00653D1E"/>
    <w:rsid w:val="006540C9"/>
    <w:rsid w:val="006549D3"/>
    <w:rsid w:val="00655A22"/>
    <w:rsid w:val="00655AF2"/>
    <w:rsid w:val="00656E03"/>
    <w:rsid w:val="00657A64"/>
    <w:rsid w:val="00660AC5"/>
    <w:rsid w:val="00661370"/>
    <w:rsid w:val="006614D3"/>
    <w:rsid w:val="00661719"/>
    <w:rsid w:val="00661FFD"/>
    <w:rsid w:val="00662948"/>
    <w:rsid w:val="006633EE"/>
    <w:rsid w:val="006637ED"/>
    <w:rsid w:val="00663946"/>
    <w:rsid w:val="0066403F"/>
    <w:rsid w:val="00664284"/>
    <w:rsid w:val="00665477"/>
    <w:rsid w:val="00665511"/>
    <w:rsid w:val="00665788"/>
    <w:rsid w:val="006660EC"/>
    <w:rsid w:val="00666175"/>
    <w:rsid w:val="00666A24"/>
    <w:rsid w:val="00666BAD"/>
    <w:rsid w:val="00670495"/>
    <w:rsid w:val="00670EF6"/>
    <w:rsid w:val="00671D32"/>
    <w:rsid w:val="00671F68"/>
    <w:rsid w:val="00671F7F"/>
    <w:rsid w:val="006727F9"/>
    <w:rsid w:val="00672B2F"/>
    <w:rsid w:val="006738A6"/>
    <w:rsid w:val="00673ABE"/>
    <w:rsid w:val="00673E8C"/>
    <w:rsid w:val="0067447A"/>
    <w:rsid w:val="00674481"/>
    <w:rsid w:val="006746B9"/>
    <w:rsid w:val="00675335"/>
    <w:rsid w:val="0067629E"/>
    <w:rsid w:val="00676A51"/>
    <w:rsid w:val="00676C0C"/>
    <w:rsid w:val="00676C68"/>
    <w:rsid w:val="00676DA5"/>
    <w:rsid w:val="006771B2"/>
    <w:rsid w:val="00677793"/>
    <w:rsid w:val="00677B03"/>
    <w:rsid w:val="00677C1E"/>
    <w:rsid w:val="0068068E"/>
    <w:rsid w:val="00681250"/>
    <w:rsid w:val="00682497"/>
    <w:rsid w:val="0068297A"/>
    <w:rsid w:val="00683F2C"/>
    <w:rsid w:val="006848FE"/>
    <w:rsid w:val="00684DA3"/>
    <w:rsid w:val="006850BB"/>
    <w:rsid w:val="006853AE"/>
    <w:rsid w:val="006853E9"/>
    <w:rsid w:val="00685472"/>
    <w:rsid w:val="00686AAA"/>
    <w:rsid w:val="00686EF5"/>
    <w:rsid w:val="006877C7"/>
    <w:rsid w:val="00687F3E"/>
    <w:rsid w:val="00692720"/>
    <w:rsid w:val="0069281F"/>
    <w:rsid w:val="00692A6F"/>
    <w:rsid w:val="00693BB7"/>
    <w:rsid w:val="00694286"/>
    <w:rsid w:val="00695087"/>
    <w:rsid w:val="006954EB"/>
    <w:rsid w:val="0069643A"/>
    <w:rsid w:val="0069651F"/>
    <w:rsid w:val="006968D3"/>
    <w:rsid w:val="00697039"/>
    <w:rsid w:val="00697936"/>
    <w:rsid w:val="006A08E1"/>
    <w:rsid w:val="006A0ABE"/>
    <w:rsid w:val="006A0BFD"/>
    <w:rsid w:val="006A1361"/>
    <w:rsid w:val="006A13DF"/>
    <w:rsid w:val="006A1C8F"/>
    <w:rsid w:val="006A225A"/>
    <w:rsid w:val="006A4EAD"/>
    <w:rsid w:val="006A54C3"/>
    <w:rsid w:val="006A55FC"/>
    <w:rsid w:val="006A5751"/>
    <w:rsid w:val="006A6C53"/>
    <w:rsid w:val="006A7E8D"/>
    <w:rsid w:val="006B0425"/>
    <w:rsid w:val="006B0AE9"/>
    <w:rsid w:val="006B1EFB"/>
    <w:rsid w:val="006B22BA"/>
    <w:rsid w:val="006B2B53"/>
    <w:rsid w:val="006B36FB"/>
    <w:rsid w:val="006B544D"/>
    <w:rsid w:val="006B614F"/>
    <w:rsid w:val="006B68A9"/>
    <w:rsid w:val="006B6FA4"/>
    <w:rsid w:val="006B7201"/>
    <w:rsid w:val="006B794C"/>
    <w:rsid w:val="006C052F"/>
    <w:rsid w:val="006C07F5"/>
    <w:rsid w:val="006C080D"/>
    <w:rsid w:val="006C18A7"/>
    <w:rsid w:val="006C1FFE"/>
    <w:rsid w:val="006C20EC"/>
    <w:rsid w:val="006C21FA"/>
    <w:rsid w:val="006C26B2"/>
    <w:rsid w:val="006C49C0"/>
    <w:rsid w:val="006C50B9"/>
    <w:rsid w:val="006C58FF"/>
    <w:rsid w:val="006C5DC5"/>
    <w:rsid w:val="006C5F8A"/>
    <w:rsid w:val="006C61E6"/>
    <w:rsid w:val="006C627E"/>
    <w:rsid w:val="006C68EA"/>
    <w:rsid w:val="006C6994"/>
    <w:rsid w:val="006C6D17"/>
    <w:rsid w:val="006C76A0"/>
    <w:rsid w:val="006C7EE0"/>
    <w:rsid w:val="006D0B80"/>
    <w:rsid w:val="006D15EF"/>
    <w:rsid w:val="006D2559"/>
    <w:rsid w:val="006D2EE2"/>
    <w:rsid w:val="006D3D83"/>
    <w:rsid w:val="006D40AD"/>
    <w:rsid w:val="006D40E7"/>
    <w:rsid w:val="006D4ADC"/>
    <w:rsid w:val="006D54E1"/>
    <w:rsid w:val="006D6082"/>
    <w:rsid w:val="006D62AB"/>
    <w:rsid w:val="006D68EC"/>
    <w:rsid w:val="006D7700"/>
    <w:rsid w:val="006E01AF"/>
    <w:rsid w:val="006E0D58"/>
    <w:rsid w:val="006E13D2"/>
    <w:rsid w:val="006E1557"/>
    <w:rsid w:val="006E1FB5"/>
    <w:rsid w:val="006E22AB"/>
    <w:rsid w:val="006E27C0"/>
    <w:rsid w:val="006E3888"/>
    <w:rsid w:val="006E4244"/>
    <w:rsid w:val="006E4264"/>
    <w:rsid w:val="006E4E8A"/>
    <w:rsid w:val="006E50C4"/>
    <w:rsid w:val="006E52A1"/>
    <w:rsid w:val="006E648B"/>
    <w:rsid w:val="006E66CB"/>
    <w:rsid w:val="006E6C87"/>
    <w:rsid w:val="006F04DC"/>
    <w:rsid w:val="006F04E1"/>
    <w:rsid w:val="006F0DCA"/>
    <w:rsid w:val="006F24FE"/>
    <w:rsid w:val="006F4125"/>
    <w:rsid w:val="006F5B94"/>
    <w:rsid w:val="006F73F8"/>
    <w:rsid w:val="006F7566"/>
    <w:rsid w:val="006F7625"/>
    <w:rsid w:val="006F76BE"/>
    <w:rsid w:val="00700930"/>
    <w:rsid w:val="00700B46"/>
    <w:rsid w:val="00700BA1"/>
    <w:rsid w:val="007014A7"/>
    <w:rsid w:val="007021ED"/>
    <w:rsid w:val="007029D5"/>
    <w:rsid w:val="00703B04"/>
    <w:rsid w:val="0070408D"/>
    <w:rsid w:val="00704A80"/>
    <w:rsid w:val="007051AF"/>
    <w:rsid w:val="00705377"/>
    <w:rsid w:val="0070569D"/>
    <w:rsid w:val="00706516"/>
    <w:rsid w:val="007067CF"/>
    <w:rsid w:val="007070EA"/>
    <w:rsid w:val="0071095D"/>
    <w:rsid w:val="007110AF"/>
    <w:rsid w:val="0071122D"/>
    <w:rsid w:val="00712237"/>
    <w:rsid w:val="007125E7"/>
    <w:rsid w:val="00712C28"/>
    <w:rsid w:val="0071316D"/>
    <w:rsid w:val="007131D1"/>
    <w:rsid w:val="00713947"/>
    <w:rsid w:val="007144FD"/>
    <w:rsid w:val="0071493B"/>
    <w:rsid w:val="007157CE"/>
    <w:rsid w:val="007158B2"/>
    <w:rsid w:val="007160B1"/>
    <w:rsid w:val="00716281"/>
    <w:rsid w:val="007162FC"/>
    <w:rsid w:val="00716AF3"/>
    <w:rsid w:val="00716CE4"/>
    <w:rsid w:val="00717029"/>
    <w:rsid w:val="00717B62"/>
    <w:rsid w:val="007202CD"/>
    <w:rsid w:val="007206A0"/>
    <w:rsid w:val="0072087B"/>
    <w:rsid w:val="0072151A"/>
    <w:rsid w:val="0072167B"/>
    <w:rsid w:val="00721684"/>
    <w:rsid w:val="00721925"/>
    <w:rsid w:val="00721E89"/>
    <w:rsid w:val="00722EF4"/>
    <w:rsid w:val="0072307C"/>
    <w:rsid w:val="007246F6"/>
    <w:rsid w:val="00724B88"/>
    <w:rsid w:val="0072503D"/>
    <w:rsid w:val="0072578E"/>
    <w:rsid w:val="00725867"/>
    <w:rsid w:val="007259E3"/>
    <w:rsid w:val="00725DF9"/>
    <w:rsid w:val="00731381"/>
    <w:rsid w:val="00731775"/>
    <w:rsid w:val="00731B0B"/>
    <w:rsid w:val="00731D2F"/>
    <w:rsid w:val="00731EB4"/>
    <w:rsid w:val="00732CD2"/>
    <w:rsid w:val="00733637"/>
    <w:rsid w:val="0073428A"/>
    <w:rsid w:val="00734862"/>
    <w:rsid w:val="0073515E"/>
    <w:rsid w:val="00735C90"/>
    <w:rsid w:val="00735F50"/>
    <w:rsid w:val="00737727"/>
    <w:rsid w:val="00737F09"/>
    <w:rsid w:val="007405C6"/>
    <w:rsid w:val="00741A3D"/>
    <w:rsid w:val="00742827"/>
    <w:rsid w:val="007428E8"/>
    <w:rsid w:val="00742940"/>
    <w:rsid w:val="00744A65"/>
    <w:rsid w:val="00745EB5"/>
    <w:rsid w:val="007460BC"/>
    <w:rsid w:val="0074659F"/>
    <w:rsid w:val="007465DD"/>
    <w:rsid w:val="00746694"/>
    <w:rsid w:val="00746910"/>
    <w:rsid w:val="00746AD2"/>
    <w:rsid w:val="00746D6F"/>
    <w:rsid w:val="00747B89"/>
    <w:rsid w:val="00751E7B"/>
    <w:rsid w:val="00753565"/>
    <w:rsid w:val="00754B80"/>
    <w:rsid w:val="007558CC"/>
    <w:rsid w:val="007567F9"/>
    <w:rsid w:val="00757290"/>
    <w:rsid w:val="00757442"/>
    <w:rsid w:val="007574DE"/>
    <w:rsid w:val="007576AF"/>
    <w:rsid w:val="00757E70"/>
    <w:rsid w:val="00760793"/>
    <w:rsid w:val="00760850"/>
    <w:rsid w:val="00760B52"/>
    <w:rsid w:val="00760C6C"/>
    <w:rsid w:val="0076157C"/>
    <w:rsid w:val="00761A50"/>
    <w:rsid w:val="00761E40"/>
    <w:rsid w:val="007635D8"/>
    <w:rsid w:val="00763D23"/>
    <w:rsid w:val="00763FAA"/>
    <w:rsid w:val="00764152"/>
    <w:rsid w:val="00764B7E"/>
    <w:rsid w:val="0076605C"/>
    <w:rsid w:val="007663D0"/>
    <w:rsid w:val="007676D0"/>
    <w:rsid w:val="00770076"/>
    <w:rsid w:val="007717FD"/>
    <w:rsid w:val="0077257D"/>
    <w:rsid w:val="00772FBC"/>
    <w:rsid w:val="007732D3"/>
    <w:rsid w:val="00773D50"/>
    <w:rsid w:val="0077407C"/>
    <w:rsid w:val="00774479"/>
    <w:rsid w:val="00774869"/>
    <w:rsid w:val="00775038"/>
    <w:rsid w:val="007762F9"/>
    <w:rsid w:val="00776616"/>
    <w:rsid w:val="00780524"/>
    <w:rsid w:val="00780E06"/>
    <w:rsid w:val="007815B6"/>
    <w:rsid w:val="007815FB"/>
    <w:rsid w:val="00781C76"/>
    <w:rsid w:val="007838F9"/>
    <w:rsid w:val="00783B1B"/>
    <w:rsid w:val="007854A2"/>
    <w:rsid w:val="007859BC"/>
    <w:rsid w:val="00785A22"/>
    <w:rsid w:val="00785A58"/>
    <w:rsid w:val="00786E2F"/>
    <w:rsid w:val="007870CD"/>
    <w:rsid w:val="007909C7"/>
    <w:rsid w:val="00790F9B"/>
    <w:rsid w:val="007919FD"/>
    <w:rsid w:val="00792D8C"/>
    <w:rsid w:val="00793D6D"/>
    <w:rsid w:val="007943F7"/>
    <w:rsid w:val="00795250"/>
    <w:rsid w:val="007967DD"/>
    <w:rsid w:val="00797315"/>
    <w:rsid w:val="007973CD"/>
    <w:rsid w:val="007A0EA8"/>
    <w:rsid w:val="007A10FD"/>
    <w:rsid w:val="007A35FD"/>
    <w:rsid w:val="007A3821"/>
    <w:rsid w:val="007A57C7"/>
    <w:rsid w:val="007A5AB4"/>
    <w:rsid w:val="007A6604"/>
    <w:rsid w:val="007A6A79"/>
    <w:rsid w:val="007A6BCD"/>
    <w:rsid w:val="007A7074"/>
    <w:rsid w:val="007A7187"/>
    <w:rsid w:val="007A7A38"/>
    <w:rsid w:val="007B022D"/>
    <w:rsid w:val="007B0668"/>
    <w:rsid w:val="007B104C"/>
    <w:rsid w:val="007B1D1E"/>
    <w:rsid w:val="007B2BB0"/>
    <w:rsid w:val="007B2FAE"/>
    <w:rsid w:val="007B4582"/>
    <w:rsid w:val="007B56E3"/>
    <w:rsid w:val="007B576B"/>
    <w:rsid w:val="007B5E0E"/>
    <w:rsid w:val="007B61A9"/>
    <w:rsid w:val="007B67BC"/>
    <w:rsid w:val="007B7281"/>
    <w:rsid w:val="007C0ED8"/>
    <w:rsid w:val="007C1245"/>
    <w:rsid w:val="007C1496"/>
    <w:rsid w:val="007C1546"/>
    <w:rsid w:val="007C157D"/>
    <w:rsid w:val="007C2372"/>
    <w:rsid w:val="007C24C3"/>
    <w:rsid w:val="007C30F6"/>
    <w:rsid w:val="007C32C5"/>
    <w:rsid w:val="007C3909"/>
    <w:rsid w:val="007C3AD9"/>
    <w:rsid w:val="007C4BD9"/>
    <w:rsid w:val="007C5730"/>
    <w:rsid w:val="007C5F21"/>
    <w:rsid w:val="007C786D"/>
    <w:rsid w:val="007D04F6"/>
    <w:rsid w:val="007D0DB8"/>
    <w:rsid w:val="007D2BFE"/>
    <w:rsid w:val="007D3A08"/>
    <w:rsid w:val="007D3DFF"/>
    <w:rsid w:val="007D4128"/>
    <w:rsid w:val="007D495B"/>
    <w:rsid w:val="007D4CC8"/>
    <w:rsid w:val="007D4E31"/>
    <w:rsid w:val="007D536A"/>
    <w:rsid w:val="007D54C6"/>
    <w:rsid w:val="007D54F6"/>
    <w:rsid w:val="007D5A80"/>
    <w:rsid w:val="007D5BC8"/>
    <w:rsid w:val="007D6649"/>
    <w:rsid w:val="007D7915"/>
    <w:rsid w:val="007E0376"/>
    <w:rsid w:val="007E2CBA"/>
    <w:rsid w:val="007E320D"/>
    <w:rsid w:val="007E41EF"/>
    <w:rsid w:val="007E478B"/>
    <w:rsid w:val="007E5DAD"/>
    <w:rsid w:val="007E78D4"/>
    <w:rsid w:val="007F006C"/>
    <w:rsid w:val="007F0399"/>
    <w:rsid w:val="007F0F39"/>
    <w:rsid w:val="007F1A0F"/>
    <w:rsid w:val="007F2052"/>
    <w:rsid w:val="007F20CA"/>
    <w:rsid w:val="007F2900"/>
    <w:rsid w:val="007F393E"/>
    <w:rsid w:val="007F3CDF"/>
    <w:rsid w:val="007F40DE"/>
    <w:rsid w:val="007F414A"/>
    <w:rsid w:val="007F419C"/>
    <w:rsid w:val="007F44F1"/>
    <w:rsid w:val="007F4D6A"/>
    <w:rsid w:val="007F5D1F"/>
    <w:rsid w:val="007F6010"/>
    <w:rsid w:val="007F6D8F"/>
    <w:rsid w:val="007F7176"/>
    <w:rsid w:val="007F7707"/>
    <w:rsid w:val="00801253"/>
    <w:rsid w:val="00801370"/>
    <w:rsid w:val="00801E1B"/>
    <w:rsid w:val="00801EC9"/>
    <w:rsid w:val="00802383"/>
    <w:rsid w:val="0080280C"/>
    <w:rsid w:val="00802DDD"/>
    <w:rsid w:val="00803893"/>
    <w:rsid w:val="0080433E"/>
    <w:rsid w:val="008048D0"/>
    <w:rsid w:val="00805157"/>
    <w:rsid w:val="00805CF7"/>
    <w:rsid w:val="0080647F"/>
    <w:rsid w:val="0080676C"/>
    <w:rsid w:val="00806A53"/>
    <w:rsid w:val="00806E5B"/>
    <w:rsid w:val="00810092"/>
    <w:rsid w:val="00810DDF"/>
    <w:rsid w:val="008113FF"/>
    <w:rsid w:val="008115E2"/>
    <w:rsid w:val="00811E19"/>
    <w:rsid w:val="008128D4"/>
    <w:rsid w:val="00812B04"/>
    <w:rsid w:val="00812BE0"/>
    <w:rsid w:val="00812F90"/>
    <w:rsid w:val="0081326E"/>
    <w:rsid w:val="00814D66"/>
    <w:rsid w:val="0081503C"/>
    <w:rsid w:val="0081503E"/>
    <w:rsid w:val="008153DA"/>
    <w:rsid w:val="008154F4"/>
    <w:rsid w:val="008155F4"/>
    <w:rsid w:val="00816DB6"/>
    <w:rsid w:val="008171A9"/>
    <w:rsid w:val="00817C7D"/>
    <w:rsid w:val="0082012D"/>
    <w:rsid w:val="00820147"/>
    <w:rsid w:val="008210EA"/>
    <w:rsid w:val="0082269C"/>
    <w:rsid w:val="00823B97"/>
    <w:rsid w:val="0082400B"/>
    <w:rsid w:val="00824A7F"/>
    <w:rsid w:val="00824BB3"/>
    <w:rsid w:val="00825340"/>
    <w:rsid w:val="0082557A"/>
    <w:rsid w:val="008259EE"/>
    <w:rsid w:val="00825B11"/>
    <w:rsid w:val="00825E48"/>
    <w:rsid w:val="008269C3"/>
    <w:rsid w:val="00827986"/>
    <w:rsid w:val="00830188"/>
    <w:rsid w:val="0083051A"/>
    <w:rsid w:val="0083087A"/>
    <w:rsid w:val="00831EEF"/>
    <w:rsid w:val="008328A9"/>
    <w:rsid w:val="008336C5"/>
    <w:rsid w:val="0083442D"/>
    <w:rsid w:val="00834EB3"/>
    <w:rsid w:val="0083658F"/>
    <w:rsid w:val="00836EAE"/>
    <w:rsid w:val="00837860"/>
    <w:rsid w:val="00840978"/>
    <w:rsid w:val="00840D18"/>
    <w:rsid w:val="00840F7A"/>
    <w:rsid w:val="00841566"/>
    <w:rsid w:val="00842D75"/>
    <w:rsid w:val="00842E27"/>
    <w:rsid w:val="00843288"/>
    <w:rsid w:val="00843954"/>
    <w:rsid w:val="00845432"/>
    <w:rsid w:val="00846ACC"/>
    <w:rsid w:val="00846DF4"/>
    <w:rsid w:val="00847765"/>
    <w:rsid w:val="008511A7"/>
    <w:rsid w:val="00851328"/>
    <w:rsid w:val="008518ED"/>
    <w:rsid w:val="00851D7C"/>
    <w:rsid w:val="008525C7"/>
    <w:rsid w:val="0085271B"/>
    <w:rsid w:val="00852A53"/>
    <w:rsid w:val="00852DA2"/>
    <w:rsid w:val="008539BD"/>
    <w:rsid w:val="008545E9"/>
    <w:rsid w:val="00854E4B"/>
    <w:rsid w:val="00854F25"/>
    <w:rsid w:val="00855A3E"/>
    <w:rsid w:val="00857B97"/>
    <w:rsid w:val="00857D74"/>
    <w:rsid w:val="00857E92"/>
    <w:rsid w:val="00857F0F"/>
    <w:rsid w:val="0086000B"/>
    <w:rsid w:val="00860141"/>
    <w:rsid w:val="0086094B"/>
    <w:rsid w:val="0086200E"/>
    <w:rsid w:val="00862279"/>
    <w:rsid w:val="00862664"/>
    <w:rsid w:val="00863133"/>
    <w:rsid w:val="008634E7"/>
    <w:rsid w:val="00864D9C"/>
    <w:rsid w:val="00864F40"/>
    <w:rsid w:val="008674DB"/>
    <w:rsid w:val="008676AF"/>
    <w:rsid w:val="0087079C"/>
    <w:rsid w:val="00870BB3"/>
    <w:rsid w:val="00871324"/>
    <w:rsid w:val="008716D3"/>
    <w:rsid w:val="0087190D"/>
    <w:rsid w:val="00871C6F"/>
    <w:rsid w:val="00871EE1"/>
    <w:rsid w:val="008722A9"/>
    <w:rsid w:val="00872880"/>
    <w:rsid w:val="008732B6"/>
    <w:rsid w:val="00873AAC"/>
    <w:rsid w:val="00873B64"/>
    <w:rsid w:val="008744BF"/>
    <w:rsid w:val="0087472F"/>
    <w:rsid w:val="008748F2"/>
    <w:rsid w:val="00874A21"/>
    <w:rsid w:val="00875B3D"/>
    <w:rsid w:val="008762E3"/>
    <w:rsid w:val="008766C0"/>
    <w:rsid w:val="0087679C"/>
    <w:rsid w:val="00876960"/>
    <w:rsid w:val="008774E2"/>
    <w:rsid w:val="008775B7"/>
    <w:rsid w:val="00877A3D"/>
    <w:rsid w:val="00877B78"/>
    <w:rsid w:val="00877C2F"/>
    <w:rsid w:val="008803A1"/>
    <w:rsid w:val="00880CB1"/>
    <w:rsid w:val="008815E3"/>
    <w:rsid w:val="00881CF1"/>
    <w:rsid w:val="008822E7"/>
    <w:rsid w:val="00882C1C"/>
    <w:rsid w:val="00883BC6"/>
    <w:rsid w:val="008842F2"/>
    <w:rsid w:val="008847B5"/>
    <w:rsid w:val="00885A83"/>
    <w:rsid w:val="00886847"/>
    <w:rsid w:val="008871AF"/>
    <w:rsid w:val="008877B7"/>
    <w:rsid w:val="00887950"/>
    <w:rsid w:val="00887A0B"/>
    <w:rsid w:val="00887C5D"/>
    <w:rsid w:val="008904DA"/>
    <w:rsid w:val="00890EC1"/>
    <w:rsid w:val="00890FC6"/>
    <w:rsid w:val="00891788"/>
    <w:rsid w:val="00892286"/>
    <w:rsid w:val="00892438"/>
    <w:rsid w:val="00892EED"/>
    <w:rsid w:val="00892F73"/>
    <w:rsid w:val="008931C9"/>
    <w:rsid w:val="00897941"/>
    <w:rsid w:val="008A087A"/>
    <w:rsid w:val="008A128F"/>
    <w:rsid w:val="008A150D"/>
    <w:rsid w:val="008A2E67"/>
    <w:rsid w:val="008A399F"/>
    <w:rsid w:val="008A3C32"/>
    <w:rsid w:val="008A3DAD"/>
    <w:rsid w:val="008A3E31"/>
    <w:rsid w:val="008A4070"/>
    <w:rsid w:val="008A40C4"/>
    <w:rsid w:val="008A46ED"/>
    <w:rsid w:val="008A513B"/>
    <w:rsid w:val="008A64B7"/>
    <w:rsid w:val="008A7E19"/>
    <w:rsid w:val="008B134D"/>
    <w:rsid w:val="008B1FA1"/>
    <w:rsid w:val="008B375D"/>
    <w:rsid w:val="008B3F66"/>
    <w:rsid w:val="008B4854"/>
    <w:rsid w:val="008B5224"/>
    <w:rsid w:val="008B5398"/>
    <w:rsid w:val="008B5DDE"/>
    <w:rsid w:val="008B6839"/>
    <w:rsid w:val="008B7936"/>
    <w:rsid w:val="008B797F"/>
    <w:rsid w:val="008C0C8A"/>
    <w:rsid w:val="008C17DC"/>
    <w:rsid w:val="008C2113"/>
    <w:rsid w:val="008C25BA"/>
    <w:rsid w:val="008C2CE7"/>
    <w:rsid w:val="008C33AC"/>
    <w:rsid w:val="008C366D"/>
    <w:rsid w:val="008C46DD"/>
    <w:rsid w:val="008C4848"/>
    <w:rsid w:val="008C4D63"/>
    <w:rsid w:val="008C4ED4"/>
    <w:rsid w:val="008C4F27"/>
    <w:rsid w:val="008C4FD9"/>
    <w:rsid w:val="008C5085"/>
    <w:rsid w:val="008C5172"/>
    <w:rsid w:val="008C5779"/>
    <w:rsid w:val="008C6E0B"/>
    <w:rsid w:val="008C74E2"/>
    <w:rsid w:val="008D03CD"/>
    <w:rsid w:val="008D06B3"/>
    <w:rsid w:val="008D0C41"/>
    <w:rsid w:val="008D0F9E"/>
    <w:rsid w:val="008D279F"/>
    <w:rsid w:val="008D3354"/>
    <w:rsid w:val="008D38EB"/>
    <w:rsid w:val="008D427B"/>
    <w:rsid w:val="008D5759"/>
    <w:rsid w:val="008D5DC8"/>
    <w:rsid w:val="008D6321"/>
    <w:rsid w:val="008D679E"/>
    <w:rsid w:val="008D6C35"/>
    <w:rsid w:val="008D7546"/>
    <w:rsid w:val="008E03AC"/>
    <w:rsid w:val="008E046D"/>
    <w:rsid w:val="008E108F"/>
    <w:rsid w:val="008E2215"/>
    <w:rsid w:val="008E22A9"/>
    <w:rsid w:val="008E3006"/>
    <w:rsid w:val="008E4559"/>
    <w:rsid w:val="008E4D64"/>
    <w:rsid w:val="008E4F28"/>
    <w:rsid w:val="008F1769"/>
    <w:rsid w:val="008F1E2E"/>
    <w:rsid w:val="008F2870"/>
    <w:rsid w:val="008F2ECA"/>
    <w:rsid w:val="008F3094"/>
    <w:rsid w:val="008F393B"/>
    <w:rsid w:val="008F41EA"/>
    <w:rsid w:val="008F4F26"/>
    <w:rsid w:val="008F4FCB"/>
    <w:rsid w:val="008F549D"/>
    <w:rsid w:val="008F6627"/>
    <w:rsid w:val="008F6D13"/>
    <w:rsid w:val="008F6FFA"/>
    <w:rsid w:val="008F713E"/>
    <w:rsid w:val="008F736D"/>
    <w:rsid w:val="008F7BCA"/>
    <w:rsid w:val="009003E6"/>
    <w:rsid w:val="009006F7"/>
    <w:rsid w:val="00901349"/>
    <w:rsid w:val="00901726"/>
    <w:rsid w:val="00901CBC"/>
    <w:rsid w:val="00902AE4"/>
    <w:rsid w:val="00902D19"/>
    <w:rsid w:val="00902DA2"/>
    <w:rsid w:val="00902F1A"/>
    <w:rsid w:val="009030CB"/>
    <w:rsid w:val="0090349E"/>
    <w:rsid w:val="00904CBD"/>
    <w:rsid w:val="00905410"/>
    <w:rsid w:val="009068B8"/>
    <w:rsid w:val="009100A1"/>
    <w:rsid w:val="00910490"/>
    <w:rsid w:val="00910543"/>
    <w:rsid w:val="009110B6"/>
    <w:rsid w:val="009112BB"/>
    <w:rsid w:val="00911CBD"/>
    <w:rsid w:val="00912219"/>
    <w:rsid w:val="00913F4B"/>
    <w:rsid w:val="009143D6"/>
    <w:rsid w:val="0091440D"/>
    <w:rsid w:val="00914624"/>
    <w:rsid w:val="00915179"/>
    <w:rsid w:val="0091528A"/>
    <w:rsid w:val="00915B87"/>
    <w:rsid w:val="00915E23"/>
    <w:rsid w:val="00916B05"/>
    <w:rsid w:val="00917AAD"/>
    <w:rsid w:val="00917BA5"/>
    <w:rsid w:val="009204CD"/>
    <w:rsid w:val="00920993"/>
    <w:rsid w:val="009214B1"/>
    <w:rsid w:val="009217C1"/>
    <w:rsid w:val="00921C85"/>
    <w:rsid w:val="00922169"/>
    <w:rsid w:val="009234EC"/>
    <w:rsid w:val="00923AED"/>
    <w:rsid w:val="0092544D"/>
    <w:rsid w:val="009261F7"/>
    <w:rsid w:val="00926CA9"/>
    <w:rsid w:val="009270AF"/>
    <w:rsid w:val="0092744F"/>
    <w:rsid w:val="00927BD7"/>
    <w:rsid w:val="00927F3E"/>
    <w:rsid w:val="00930F10"/>
    <w:rsid w:val="009315D3"/>
    <w:rsid w:val="00931EB9"/>
    <w:rsid w:val="00932684"/>
    <w:rsid w:val="009327A1"/>
    <w:rsid w:val="00932974"/>
    <w:rsid w:val="00932AAE"/>
    <w:rsid w:val="009331E9"/>
    <w:rsid w:val="009335F6"/>
    <w:rsid w:val="009336CA"/>
    <w:rsid w:val="00933827"/>
    <w:rsid w:val="00935434"/>
    <w:rsid w:val="00935BAE"/>
    <w:rsid w:val="00935E3C"/>
    <w:rsid w:val="009360EF"/>
    <w:rsid w:val="00936A09"/>
    <w:rsid w:val="00937030"/>
    <w:rsid w:val="009370D8"/>
    <w:rsid w:val="00937745"/>
    <w:rsid w:val="00940309"/>
    <w:rsid w:val="009408FC"/>
    <w:rsid w:val="009414DC"/>
    <w:rsid w:val="00941A18"/>
    <w:rsid w:val="00941F18"/>
    <w:rsid w:val="00942632"/>
    <w:rsid w:val="0094288D"/>
    <w:rsid w:val="00942CF9"/>
    <w:rsid w:val="0094329B"/>
    <w:rsid w:val="009435B9"/>
    <w:rsid w:val="00943B9E"/>
    <w:rsid w:val="00943D27"/>
    <w:rsid w:val="009450A8"/>
    <w:rsid w:val="00946C44"/>
    <w:rsid w:val="00947135"/>
    <w:rsid w:val="00950150"/>
    <w:rsid w:val="00950227"/>
    <w:rsid w:val="00950781"/>
    <w:rsid w:val="00950F9D"/>
    <w:rsid w:val="009516A0"/>
    <w:rsid w:val="00951D72"/>
    <w:rsid w:val="00951FC5"/>
    <w:rsid w:val="009528AB"/>
    <w:rsid w:val="00952AA3"/>
    <w:rsid w:val="00952FF2"/>
    <w:rsid w:val="00953230"/>
    <w:rsid w:val="0095374E"/>
    <w:rsid w:val="00954052"/>
    <w:rsid w:val="00954556"/>
    <w:rsid w:val="00954D17"/>
    <w:rsid w:val="009574A4"/>
    <w:rsid w:val="009611C8"/>
    <w:rsid w:val="009618F7"/>
    <w:rsid w:val="00961B6B"/>
    <w:rsid w:val="0096229D"/>
    <w:rsid w:val="0096246D"/>
    <w:rsid w:val="00962730"/>
    <w:rsid w:val="00962BE9"/>
    <w:rsid w:val="009630DF"/>
    <w:rsid w:val="00963751"/>
    <w:rsid w:val="0096381D"/>
    <w:rsid w:val="00963C6D"/>
    <w:rsid w:val="00963D1A"/>
    <w:rsid w:val="00964D67"/>
    <w:rsid w:val="0096579F"/>
    <w:rsid w:val="009660EC"/>
    <w:rsid w:val="00967442"/>
    <w:rsid w:val="0096746C"/>
    <w:rsid w:val="00967625"/>
    <w:rsid w:val="00967F47"/>
    <w:rsid w:val="00970650"/>
    <w:rsid w:val="0097106B"/>
    <w:rsid w:val="0097286B"/>
    <w:rsid w:val="00973419"/>
    <w:rsid w:val="0097392F"/>
    <w:rsid w:val="00974287"/>
    <w:rsid w:val="0097452D"/>
    <w:rsid w:val="00974A62"/>
    <w:rsid w:val="00975176"/>
    <w:rsid w:val="009757CA"/>
    <w:rsid w:val="00976F10"/>
    <w:rsid w:val="00977816"/>
    <w:rsid w:val="009806CC"/>
    <w:rsid w:val="00980C14"/>
    <w:rsid w:val="00980FC5"/>
    <w:rsid w:val="009812EF"/>
    <w:rsid w:val="00982009"/>
    <w:rsid w:val="00982422"/>
    <w:rsid w:val="00982A58"/>
    <w:rsid w:val="00983268"/>
    <w:rsid w:val="009832AE"/>
    <w:rsid w:val="00984BC7"/>
    <w:rsid w:val="00985993"/>
    <w:rsid w:val="009867BF"/>
    <w:rsid w:val="0098682C"/>
    <w:rsid w:val="00986914"/>
    <w:rsid w:val="0098698A"/>
    <w:rsid w:val="009872A0"/>
    <w:rsid w:val="009872B6"/>
    <w:rsid w:val="009872DE"/>
    <w:rsid w:val="0098738F"/>
    <w:rsid w:val="0098781B"/>
    <w:rsid w:val="00987827"/>
    <w:rsid w:val="00991A44"/>
    <w:rsid w:val="00991C3A"/>
    <w:rsid w:val="00992267"/>
    <w:rsid w:val="00993403"/>
    <w:rsid w:val="00994B63"/>
    <w:rsid w:val="00995524"/>
    <w:rsid w:val="009962E4"/>
    <w:rsid w:val="00996706"/>
    <w:rsid w:val="009967AD"/>
    <w:rsid w:val="00996A71"/>
    <w:rsid w:val="009A0348"/>
    <w:rsid w:val="009A07F6"/>
    <w:rsid w:val="009A0B02"/>
    <w:rsid w:val="009A0BCE"/>
    <w:rsid w:val="009A0FE9"/>
    <w:rsid w:val="009A14A8"/>
    <w:rsid w:val="009A2B95"/>
    <w:rsid w:val="009A2DFF"/>
    <w:rsid w:val="009A2E5C"/>
    <w:rsid w:val="009A2FE9"/>
    <w:rsid w:val="009A3EF3"/>
    <w:rsid w:val="009A412E"/>
    <w:rsid w:val="009A4177"/>
    <w:rsid w:val="009A4D88"/>
    <w:rsid w:val="009A567D"/>
    <w:rsid w:val="009A5F4E"/>
    <w:rsid w:val="009A618F"/>
    <w:rsid w:val="009A62D3"/>
    <w:rsid w:val="009A66BB"/>
    <w:rsid w:val="009A7185"/>
    <w:rsid w:val="009A75DA"/>
    <w:rsid w:val="009B046B"/>
    <w:rsid w:val="009B10E3"/>
    <w:rsid w:val="009B1C00"/>
    <w:rsid w:val="009B34A8"/>
    <w:rsid w:val="009B3CCC"/>
    <w:rsid w:val="009B3FDA"/>
    <w:rsid w:val="009B68F0"/>
    <w:rsid w:val="009B74BF"/>
    <w:rsid w:val="009C0737"/>
    <w:rsid w:val="009C2C9A"/>
    <w:rsid w:val="009C31F2"/>
    <w:rsid w:val="009C3253"/>
    <w:rsid w:val="009C32F3"/>
    <w:rsid w:val="009C3E77"/>
    <w:rsid w:val="009C3FD8"/>
    <w:rsid w:val="009C412C"/>
    <w:rsid w:val="009C5800"/>
    <w:rsid w:val="009C58BA"/>
    <w:rsid w:val="009C5CFB"/>
    <w:rsid w:val="009C5EB3"/>
    <w:rsid w:val="009C6483"/>
    <w:rsid w:val="009C6663"/>
    <w:rsid w:val="009C6CCA"/>
    <w:rsid w:val="009C6F9C"/>
    <w:rsid w:val="009C7D6F"/>
    <w:rsid w:val="009D00F4"/>
    <w:rsid w:val="009D042C"/>
    <w:rsid w:val="009D185D"/>
    <w:rsid w:val="009D186E"/>
    <w:rsid w:val="009D1A62"/>
    <w:rsid w:val="009D1CF5"/>
    <w:rsid w:val="009D28C9"/>
    <w:rsid w:val="009D30A9"/>
    <w:rsid w:val="009D45E1"/>
    <w:rsid w:val="009D5F61"/>
    <w:rsid w:val="009D65A3"/>
    <w:rsid w:val="009D69F6"/>
    <w:rsid w:val="009D6D53"/>
    <w:rsid w:val="009D719D"/>
    <w:rsid w:val="009D7970"/>
    <w:rsid w:val="009E0FAF"/>
    <w:rsid w:val="009E11FF"/>
    <w:rsid w:val="009E2AB0"/>
    <w:rsid w:val="009E41D4"/>
    <w:rsid w:val="009E45EA"/>
    <w:rsid w:val="009E4DE2"/>
    <w:rsid w:val="009E5145"/>
    <w:rsid w:val="009E5733"/>
    <w:rsid w:val="009E58BD"/>
    <w:rsid w:val="009E5A8C"/>
    <w:rsid w:val="009E5DE2"/>
    <w:rsid w:val="009E6484"/>
    <w:rsid w:val="009E69A1"/>
    <w:rsid w:val="009E6D82"/>
    <w:rsid w:val="009E75BC"/>
    <w:rsid w:val="009F07A8"/>
    <w:rsid w:val="009F07EA"/>
    <w:rsid w:val="009F15D2"/>
    <w:rsid w:val="009F1FD9"/>
    <w:rsid w:val="009F2035"/>
    <w:rsid w:val="009F2122"/>
    <w:rsid w:val="009F26C2"/>
    <w:rsid w:val="009F2897"/>
    <w:rsid w:val="009F2A70"/>
    <w:rsid w:val="009F3A7C"/>
    <w:rsid w:val="009F3C5D"/>
    <w:rsid w:val="009F4079"/>
    <w:rsid w:val="009F40AF"/>
    <w:rsid w:val="009F429F"/>
    <w:rsid w:val="009F43F3"/>
    <w:rsid w:val="009F4982"/>
    <w:rsid w:val="009F5B0E"/>
    <w:rsid w:val="009F5B9A"/>
    <w:rsid w:val="009F62BC"/>
    <w:rsid w:val="009F6511"/>
    <w:rsid w:val="009F6AC2"/>
    <w:rsid w:val="009F6AE7"/>
    <w:rsid w:val="00A01A69"/>
    <w:rsid w:val="00A02F3D"/>
    <w:rsid w:val="00A03368"/>
    <w:rsid w:val="00A03909"/>
    <w:rsid w:val="00A03F4A"/>
    <w:rsid w:val="00A042BD"/>
    <w:rsid w:val="00A048D4"/>
    <w:rsid w:val="00A05CCC"/>
    <w:rsid w:val="00A06887"/>
    <w:rsid w:val="00A06DAF"/>
    <w:rsid w:val="00A06E29"/>
    <w:rsid w:val="00A06E2D"/>
    <w:rsid w:val="00A07366"/>
    <w:rsid w:val="00A079EB"/>
    <w:rsid w:val="00A1071D"/>
    <w:rsid w:val="00A10766"/>
    <w:rsid w:val="00A11F64"/>
    <w:rsid w:val="00A133BA"/>
    <w:rsid w:val="00A1361D"/>
    <w:rsid w:val="00A137AA"/>
    <w:rsid w:val="00A146DA"/>
    <w:rsid w:val="00A16037"/>
    <w:rsid w:val="00A16601"/>
    <w:rsid w:val="00A17061"/>
    <w:rsid w:val="00A17B44"/>
    <w:rsid w:val="00A205AF"/>
    <w:rsid w:val="00A20B75"/>
    <w:rsid w:val="00A2160A"/>
    <w:rsid w:val="00A22208"/>
    <w:rsid w:val="00A22E59"/>
    <w:rsid w:val="00A231BF"/>
    <w:rsid w:val="00A23654"/>
    <w:rsid w:val="00A23D89"/>
    <w:rsid w:val="00A24010"/>
    <w:rsid w:val="00A24F85"/>
    <w:rsid w:val="00A255D4"/>
    <w:rsid w:val="00A2638F"/>
    <w:rsid w:val="00A268AA"/>
    <w:rsid w:val="00A27288"/>
    <w:rsid w:val="00A274D1"/>
    <w:rsid w:val="00A27DCA"/>
    <w:rsid w:val="00A3006B"/>
    <w:rsid w:val="00A30394"/>
    <w:rsid w:val="00A30469"/>
    <w:rsid w:val="00A305D9"/>
    <w:rsid w:val="00A30C45"/>
    <w:rsid w:val="00A3195D"/>
    <w:rsid w:val="00A31D5B"/>
    <w:rsid w:val="00A31F43"/>
    <w:rsid w:val="00A32495"/>
    <w:rsid w:val="00A339BC"/>
    <w:rsid w:val="00A33D4F"/>
    <w:rsid w:val="00A341CD"/>
    <w:rsid w:val="00A35386"/>
    <w:rsid w:val="00A35AB1"/>
    <w:rsid w:val="00A36058"/>
    <w:rsid w:val="00A360FB"/>
    <w:rsid w:val="00A37DF9"/>
    <w:rsid w:val="00A40DD1"/>
    <w:rsid w:val="00A41801"/>
    <w:rsid w:val="00A41D0F"/>
    <w:rsid w:val="00A427D2"/>
    <w:rsid w:val="00A42C12"/>
    <w:rsid w:val="00A42E65"/>
    <w:rsid w:val="00A42FF2"/>
    <w:rsid w:val="00A436EA"/>
    <w:rsid w:val="00A44266"/>
    <w:rsid w:val="00A447E4"/>
    <w:rsid w:val="00A460F1"/>
    <w:rsid w:val="00A4645A"/>
    <w:rsid w:val="00A464C9"/>
    <w:rsid w:val="00A47763"/>
    <w:rsid w:val="00A515DF"/>
    <w:rsid w:val="00A51DDA"/>
    <w:rsid w:val="00A52A00"/>
    <w:rsid w:val="00A52A57"/>
    <w:rsid w:val="00A533C5"/>
    <w:rsid w:val="00A53737"/>
    <w:rsid w:val="00A53759"/>
    <w:rsid w:val="00A53BDC"/>
    <w:rsid w:val="00A54484"/>
    <w:rsid w:val="00A546DC"/>
    <w:rsid w:val="00A547E4"/>
    <w:rsid w:val="00A54EB7"/>
    <w:rsid w:val="00A5582F"/>
    <w:rsid w:val="00A55845"/>
    <w:rsid w:val="00A565CD"/>
    <w:rsid w:val="00A56929"/>
    <w:rsid w:val="00A56A49"/>
    <w:rsid w:val="00A57780"/>
    <w:rsid w:val="00A57F95"/>
    <w:rsid w:val="00A617A9"/>
    <w:rsid w:val="00A6196C"/>
    <w:rsid w:val="00A62230"/>
    <w:rsid w:val="00A624E3"/>
    <w:rsid w:val="00A625DA"/>
    <w:rsid w:val="00A629BA"/>
    <w:rsid w:val="00A62E40"/>
    <w:rsid w:val="00A63CE3"/>
    <w:rsid w:val="00A63D62"/>
    <w:rsid w:val="00A646E5"/>
    <w:rsid w:val="00A6479C"/>
    <w:rsid w:val="00A64DF7"/>
    <w:rsid w:val="00A64EFE"/>
    <w:rsid w:val="00A66457"/>
    <w:rsid w:val="00A66CF7"/>
    <w:rsid w:val="00A6712C"/>
    <w:rsid w:val="00A6730B"/>
    <w:rsid w:val="00A679B6"/>
    <w:rsid w:val="00A67BCF"/>
    <w:rsid w:val="00A702A9"/>
    <w:rsid w:val="00A70531"/>
    <w:rsid w:val="00A71381"/>
    <w:rsid w:val="00A713C5"/>
    <w:rsid w:val="00A7240C"/>
    <w:rsid w:val="00A7272B"/>
    <w:rsid w:val="00A7298B"/>
    <w:rsid w:val="00A73503"/>
    <w:rsid w:val="00A73DA6"/>
    <w:rsid w:val="00A74128"/>
    <w:rsid w:val="00A756DC"/>
    <w:rsid w:val="00A76440"/>
    <w:rsid w:val="00A7650A"/>
    <w:rsid w:val="00A771DF"/>
    <w:rsid w:val="00A77C5A"/>
    <w:rsid w:val="00A805E0"/>
    <w:rsid w:val="00A80F20"/>
    <w:rsid w:val="00A80F83"/>
    <w:rsid w:val="00A8228B"/>
    <w:rsid w:val="00A82483"/>
    <w:rsid w:val="00A839DB"/>
    <w:rsid w:val="00A83B44"/>
    <w:rsid w:val="00A841B8"/>
    <w:rsid w:val="00A84745"/>
    <w:rsid w:val="00A847BF"/>
    <w:rsid w:val="00A85694"/>
    <w:rsid w:val="00A8578D"/>
    <w:rsid w:val="00A85933"/>
    <w:rsid w:val="00A85D7B"/>
    <w:rsid w:val="00A8644B"/>
    <w:rsid w:val="00A86A73"/>
    <w:rsid w:val="00A87364"/>
    <w:rsid w:val="00A87F91"/>
    <w:rsid w:val="00A90BEC"/>
    <w:rsid w:val="00A917BB"/>
    <w:rsid w:val="00A91E80"/>
    <w:rsid w:val="00A929A4"/>
    <w:rsid w:val="00A92D56"/>
    <w:rsid w:val="00A930AB"/>
    <w:rsid w:val="00A949C0"/>
    <w:rsid w:val="00A94E38"/>
    <w:rsid w:val="00A94F6D"/>
    <w:rsid w:val="00A9523C"/>
    <w:rsid w:val="00A95F34"/>
    <w:rsid w:val="00A962E0"/>
    <w:rsid w:val="00A96783"/>
    <w:rsid w:val="00A9696A"/>
    <w:rsid w:val="00A97245"/>
    <w:rsid w:val="00AA0422"/>
    <w:rsid w:val="00AA0A39"/>
    <w:rsid w:val="00AA0E99"/>
    <w:rsid w:val="00AA1DD0"/>
    <w:rsid w:val="00AA2219"/>
    <w:rsid w:val="00AA2AF8"/>
    <w:rsid w:val="00AA2B90"/>
    <w:rsid w:val="00AA37BC"/>
    <w:rsid w:val="00AA4343"/>
    <w:rsid w:val="00AA4723"/>
    <w:rsid w:val="00AA4A89"/>
    <w:rsid w:val="00AA4AB4"/>
    <w:rsid w:val="00AA4E31"/>
    <w:rsid w:val="00AA4EFE"/>
    <w:rsid w:val="00AA555A"/>
    <w:rsid w:val="00AA5642"/>
    <w:rsid w:val="00AA5A25"/>
    <w:rsid w:val="00AA67B6"/>
    <w:rsid w:val="00AA6BD4"/>
    <w:rsid w:val="00AA6F21"/>
    <w:rsid w:val="00AA7574"/>
    <w:rsid w:val="00AA795E"/>
    <w:rsid w:val="00AA7A4D"/>
    <w:rsid w:val="00AA7E8B"/>
    <w:rsid w:val="00AB08F5"/>
    <w:rsid w:val="00AB1132"/>
    <w:rsid w:val="00AB116B"/>
    <w:rsid w:val="00AB2843"/>
    <w:rsid w:val="00AB29E3"/>
    <w:rsid w:val="00AB2FCE"/>
    <w:rsid w:val="00AB3946"/>
    <w:rsid w:val="00AB3C4C"/>
    <w:rsid w:val="00AB48D5"/>
    <w:rsid w:val="00AB4A52"/>
    <w:rsid w:val="00AB50DF"/>
    <w:rsid w:val="00AB53EF"/>
    <w:rsid w:val="00AB5938"/>
    <w:rsid w:val="00AB5A87"/>
    <w:rsid w:val="00AB5CCF"/>
    <w:rsid w:val="00AB61B6"/>
    <w:rsid w:val="00AB6510"/>
    <w:rsid w:val="00AB70A8"/>
    <w:rsid w:val="00AB750B"/>
    <w:rsid w:val="00AB75AD"/>
    <w:rsid w:val="00AB7933"/>
    <w:rsid w:val="00AB7B02"/>
    <w:rsid w:val="00AC0C2F"/>
    <w:rsid w:val="00AC13DF"/>
    <w:rsid w:val="00AC1A40"/>
    <w:rsid w:val="00AC219F"/>
    <w:rsid w:val="00AC25E5"/>
    <w:rsid w:val="00AC2713"/>
    <w:rsid w:val="00AC28D1"/>
    <w:rsid w:val="00AC2F3B"/>
    <w:rsid w:val="00AC36C3"/>
    <w:rsid w:val="00AC44D2"/>
    <w:rsid w:val="00AC4913"/>
    <w:rsid w:val="00AC5E87"/>
    <w:rsid w:val="00AC5FFE"/>
    <w:rsid w:val="00AC6A6E"/>
    <w:rsid w:val="00AC6E92"/>
    <w:rsid w:val="00AC71CF"/>
    <w:rsid w:val="00AC7404"/>
    <w:rsid w:val="00AC78AC"/>
    <w:rsid w:val="00AD0A8F"/>
    <w:rsid w:val="00AD23C7"/>
    <w:rsid w:val="00AD2C1A"/>
    <w:rsid w:val="00AD3418"/>
    <w:rsid w:val="00AD3484"/>
    <w:rsid w:val="00AD3603"/>
    <w:rsid w:val="00AD3B9F"/>
    <w:rsid w:val="00AD3DE9"/>
    <w:rsid w:val="00AD476B"/>
    <w:rsid w:val="00AD5415"/>
    <w:rsid w:val="00AD63B3"/>
    <w:rsid w:val="00AD6AAD"/>
    <w:rsid w:val="00AD7CEE"/>
    <w:rsid w:val="00AD7E23"/>
    <w:rsid w:val="00AD7E8B"/>
    <w:rsid w:val="00AE09B1"/>
    <w:rsid w:val="00AE235C"/>
    <w:rsid w:val="00AE253C"/>
    <w:rsid w:val="00AE3F85"/>
    <w:rsid w:val="00AE411C"/>
    <w:rsid w:val="00AE6F47"/>
    <w:rsid w:val="00AE7230"/>
    <w:rsid w:val="00AE7A42"/>
    <w:rsid w:val="00AE7A46"/>
    <w:rsid w:val="00AF0177"/>
    <w:rsid w:val="00AF0419"/>
    <w:rsid w:val="00AF0F2A"/>
    <w:rsid w:val="00AF1AEA"/>
    <w:rsid w:val="00AF21FB"/>
    <w:rsid w:val="00AF2E12"/>
    <w:rsid w:val="00AF3280"/>
    <w:rsid w:val="00AF346E"/>
    <w:rsid w:val="00AF35A7"/>
    <w:rsid w:val="00AF395A"/>
    <w:rsid w:val="00AF3D43"/>
    <w:rsid w:val="00AF467A"/>
    <w:rsid w:val="00AF59C1"/>
    <w:rsid w:val="00AF59EB"/>
    <w:rsid w:val="00AF615B"/>
    <w:rsid w:val="00AF7C18"/>
    <w:rsid w:val="00B0083C"/>
    <w:rsid w:val="00B00A31"/>
    <w:rsid w:val="00B00CAE"/>
    <w:rsid w:val="00B018FE"/>
    <w:rsid w:val="00B027E6"/>
    <w:rsid w:val="00B03F12"/>
    <w:rsid w:val="00B0477D"/>
    <w:rsid w:val="00B047D6"/>
    <w:rsid w:val="00B07414"/>
    <w:rsid w:val="00B07BBE"/>
    <w:rsid w:val="00B07FBA"/>
    <w:rsid w:val="00B1053D"/>
    <w:rsid w:val="00B11749"/>
    <w:rsid w:val="00B11C7F"/>
    <w:rsid w:val="00B11E3B"/>
    <w:rsid w:val="00B12952"/>
    <w:rsid w:val="00B12DEC"/>
    <w:rsid w:val="00B12FED"/>
    <w:rsid w:val="00B1315F"/>
    <w:rsid w:val="00B138E7"/>
    <w:rsid w:val="00B138F9"/>
    <w:rsid w:val="00B14C26"/>
    <w:rsid w:val="00B14D83"/>
    <w:rsid w:val="00B14DF5"/>
    <w:rsid w:val="00B15806"/>
    <w:rsid w:val="00B15ABD"/>
    <w:rsid w:val="00B1616E"/>
    <w:rsid w:val="00B16465"/>
    <w:rsid w:val="00B168DF"/>
    <w:rsid w:val="00B16EEE"/>
    <w:rsid w:val="00B1708C"/>
    <w:rsid w:val="00B201C5"/>
    <w:rsid w:val="00B205D3"/>
    <w:rsid w:val="00B2170E"/>
    <w:rsid w:val="00B21B91"/>
    <w:rsid w:val="00B21E7E"/>
    <w:rsid w:val="00B222D0"/>
    <w:rsid w:val="00B22334"/>
    <w:rsid w:val="00B229C3"/>
    <w:rsid w:val="00B23179"/>
    <w:rsid w:val="00B238B2"/>
    <w:rsid w:val="00B238DA"/>
    <w:rsid w:val="00B24CB0"/>
    <w:rsid w:val="00B27244"/>
    <w:rsid w:val="00B275FA"/>
    <w:rsid w:val="00B279C6"/>
    <w:rsid w:val="00B30376"/>
    <w:rsid w:val="00B31BA9"/>
    <w:rsid w:val="00B330BB"/>
    <w:rsid w:val="00B3349C"/>
    <w:rsid w:val="00B33C67"/>
    <w:rsid w:val="00B3472C"/>
    <w:rsid w:val="00B3484D"/>
    <w:rsid w:val="00B348BF"/>
    <w:rsid w:val="00B34915"/>
    <w:rsid w:val="00B34C13"/>
    <w:rsid w:val="00B359A1"/>
    <w:rsid w:val="00B35F1B"/>
    <w:rsid w:val="00B36107"/>
    <w:rsid w:val="00B36148"/>
    <w:rsid w:val="00B37C29"/>
    <w:rsid w:val="00B40875"/>
    <w:rsid w:val="00B410E9"/>
    <w:rsid w:val="00B41734"/>
    <w:rsid w:val="00B41DEA"/>
    <w:rsid w:val="00B42CBC"/>
    <w:rsid w:val="00B42E10"/>
    <w:rsid w:val="00B44D2E"/>
    <w:rsid w:val="00B44D75"/>
    <w:rsid w:val="00B44F0E"/>
    <w:rsid w:val="00B45F36"/>
    <w:rsid w:val="00B465BE"/>
    <w:rsid w:val="00B475C8"/>
    <w:rsid w:val="00B47D08"/>
    <w:rsid w:val="00B503B2"/>
    <w:rsid w:val="00B50BCF"/>
    <w:rsid w:val="00B50C7A"/>
    <w:rsid w:val="00B50D44"/>
    <w:rsid w:val="00B519DE"/>
    <w:rsid w:val="00B51BE0"/>
    <w:rsid w:val="00B53F9B"/>
    <w:rsid w:val="00B54D99"/>
    <w:rsid w:val="00B55266"/>
    <w:rsid w:val="00B55D69"/>
    <w:rsid w:val="00B5629D"/>
    <w:rsid w:val="00B563D5"/>
    <w:rsid w:val="00B56D31"/>
    <w:rsid w:val="00B570FE"/>
    <w:rsid w:val="00B57550"/>
    <w:rsid w:val="00B600E1"/>
    <w:rsid w:val="00B6061A"/>
    <w:rsid w:val="00B60872"/>
    <w:rsid w:val="00B60EC2"/>
    <w:rsid w:val="00B61508"/>
    <w:rsid w:val="00B61663"/>
    <w:rsid w:val="00B61E60"/>
    <w:rsid w:val="00B62B4B"/>
    <w:rsid w:val="00B636C9"/>
    <w:rsid w:val="00B63727"/>
    <w:rsid w:val="00B641BB"/>
    <w:rsid w:val="00B6500C"/>
    <w:rsid w:val="00B653B6"/>
    <w:rsid w:val="00B6542B"/>
    <w:rsid w:val="00B65864"/>
    <w:rsid w:val="00B66206"/>
    <w:rsid w:val="00B66BBC"/>
    <w:rsid w:val="00B66E40"/>
    <w:rsid w:val="00B67050"/>
    <w:rsid w:val="00B67BAD"/>
    <w:rsid w:val="00B70DA5"/>
    <w:rsid w:val="00B710E4"/>
    <w:rsid w:val="00B715A8"/>
    <w:rsid w:val="00B717DE"/>
    <w:rsid w:val="00B72381"/>
    <w:rsid w:val="00B7426F"/>
    <w:rsid w:val="00B743F5"/>
    <w:rsid w:val="00B74648"/>
    <w:rsid w:val="00B7543C"/>
    <w:rsid w:val="00B75464"/>
    <w:rsid w:val="00B756E5"/>
    <w:rsid w:val="00B756F0"/>
    <w:rsid w:val="00B76BC9"/>
    <w:rsid w:val="00B77705"/>
    <w:rsid w:val="00B77956"/>
    <w:rsid w:val="00B80060"/>
    <w:rsid w:val="00B80825"/>
    <w:rsid w:val="00B80FC9"/>
    <w:rsid w:val="00B81480"/>
    <w:rsid w:val="00B833AF"/>
    <w:rsid w:val="00B8345A"/>
    <w:rsid w:val="00B84FEB"/>
    <w:rsid w:val="00B85072"/>
    <w:rsid w:val="00B850F0"/>
    <w:rsid w:val="00B85180"/>
    <w:rsid w:val="00B852A6"/>
    <w:rsid w:val="00B857B1"/>
    <w:rsid w:val="00B85838"/>
    <w:rsid w:val="00B85F87"/>
    <w:rsid w:val="00B87A73"/>
    <w:rsid w:val="00B87CF2"/>
    <w:rsid w:val="00B87D48"/>
    <w:rsid w:val="00B91168"/>
    <w:rsid w:val="00B9165C"/>
    <w:rsid w:val="00B91A09"/>
    <w:rsid w:val="00B91DA3"/>
    <w:rsid w:val="00B92114"/>
    <w:rsid w:val="00B92864"/>
    <w:rsid w:val="00B93D71"/>
    <w:rsid w:val="00B94921"/>
    <w:rsid w:val="00B94A16"/>
    <w:rsid w:val="00B954E6"/>
    <w:rsid w:val="00B95C4F"/>
    <w:rsid w:val="00B95D6E"/>
    <w:rsid w:val="00B95F9C"/>
    <w:rsid w:val="00B9640C"/>
    <w:rsid w:val="00B9652D"/>
    <w:rsid w:val="00B96A59"/>
    <w:rsid w:val="00B970B1"/>
    <w:rsid w:val="00B971AE"/>
    <w:rsid w:val="00B97220"/>
    <w:rsid w:val="00BA0D39"/>
    <w:rsid w:val="00BA0E58"/>
    <w:rsid w:val="00BA169D"/>
    <w:rsid w:val="00BA1DD0"/>
    <w:rsid w:val="00BA25E6"/>
    <w:rsid w:val="00BA38A9"/>
    <w:rsid w:val="00BA3D93"/>
    <w:rsid w:val="00BA4BF9"/>
    <w:rsid w:val="00BA5F8D"/>
    <w:rsid w:val="00BA71FD"/>
    <w:rsid w:val="00BA723A"/>
    <w:rsid w:val="00BB0890"/>
    <w:rsid w:val="00BB1138"/>
    <w:rsid w:val="00BB18A5"/>
    <w:rsid w:val="00BB1D36"/>
    <w:rsid w:val="00BB36C7"/>
    <w:rsid w:val="00BB3AD1"/>
    <w:rsid w:val="00BB4D1B"/>
    <w:rsid w:val="00BB548D"/>
    <w:rsid w:val="00BB643B"/>
    <w:rsid w:val="00BB73AA"/>
    <w:rsid w:val="00BB7585"/>
    <w:rsid w:val="00BB76EA"/>
    <w:rsid w:val="00BB7DDF"/>
    <w:rsid w:val="00BC096C"/>
    <w:rsid w:val="00BC0F06"/>
    <w:rsid w:val="00BC1A11"/>
    <w:rsid w:val="00BC1F8D"/>
    <w:rsid w:val="00BC433F"/>
    <w:rsid w:val="00BC4CA2"/>
    <w:rsid w:val="00BC5348"/>
    <w:rsid w:val="00BC53E3"/>
    <w:rsid w:val="00BD041D"/>
    <w:rsid w:val="00BD0BDF"/>
    <w:rsid w:val="00BD1668"/>
    <w:rsid w:val="00BD1DB8"/>
    <w:rsid w:val="00BD2215"/>
    <w:rsid w:val="00BD2CCC"/>
    <w:rsid w:val="00BD2F80"/>
    <w:rsid w:val="00BD30A5"/>
    <w:rsid w:val="00BD313C"/>
    <w:rsid w:val="00BD36C8"/>
    <w:rsid w:val="00BD42F6"/>
    <w:rsid w:val="00BD5603"/>
    <w:rsid w:val="00BD596A"/>
    <w:rsid w:val="00BD6137"/>
    <w:rsid w:val="00BD62B2"/>
    <w:rsid w:val="00BD66E8"/>
    <w:rsid w:val="00BE0331"/>
    <w:rsid w:val="00BE03B2"/>
    <w:rsid w:val="00BE15AB"/>
    <w:rsid w:val="00BE178D"/>
    <w:rsid w:val="00BE1AE8"/>
    <w:rsid w:val="00BE2DB1"/>
    <w:rsid w:val="00BE30C8"/>
    <w:rsid w:val="00BE3EA7"/>
    <w:rsid w:val="00BE3EF3"/>
    <w:rsid w:val="00BE4E25"/>
    <w:rsid w:val="00BE59E7"/>
    <w:rsid w:val="00BE5BB7"/>
    <w:rsid w:val="00BE60AD"/>
    <w:rsid w:val="00BE63CE"/>
    <w:rsid w:val="00BE662D"/>
    <w:rsid w:val="00BE6714"/>
    <w:rsid w:val="00BE6AAF"/>
    <w:rsid w:val="00BE6F0A"/>
    <w:rsid w:val="00BE7096"/>
    <w:rsid w:val="00BF0C2D"/>
    <w:rsid w:val="00BF0FCC"/>
    <w:rsid w:val="00BF221D"/>
    <w:rsid w:val="00BF25C8"/>
    <w:rsid w:val="00BF2D4B"/>
    <w:rsid w:val="00BF449B"/>
    <w:rsid w:val="00BF55D9"/>
    <w:rsid w:val="00BF5668"/>
    <w:rsid w:val="00BF7736"/>
    <w:rsid w:val="00BF781B"/>
    <w:rsid w:val="00C0035D"/>
    <w:rsid w:val="00C028D6"/>
    <w:rsid w:val="00C02F0B"/>
    <w:rsid w:val="00C03893"/>
    <w:rsid w:val="00C0441D"/>
    <w:rsid w:val="00C05A95"/>
    <w:rsid w:val="00C05D59"/>
    <w:rsid w:val="00C05E64"/>
    <w:rsid w:val="00C07116"/>
    <w:rsid w:val="00C07A61"/>
    <w:rsid w:val="00C10255"/>
    <w:rsid w:val="00C108B7"/>
    <w:rsid w:val="00C10E6D"/>
    <w:rsid w:val="00C10EC8"/>
    <w:rsid w:val="00C12165"/>
    <w:rsid w:val="00C13071"/>
    <w:rsid w:val="00C132F5"/>
    <w:rsid w:val="00C13584"/>
    <w:rsid w:val="00C13593"/>
    <w:rsid w:val="00C137BA"/>
    <w:rsid w:val="00C13FDB"/>
    <w:rsid w:val="00C140A8"/>
    <w:rsid w:val="00C14BB5"/>
    <w:rsid w:val="00C14CC4"/>
    <w:rsid w:val="00C152C8"/>
    <w:rsid w:val="00C159E6"/>
    <w:rsid w:val="00C15C2A"/>
    <w:rsid w:val="00C162B1"/>
    <w:rsid w:val="00C164B7"/>
    <w:rsid w:val="00C16B40"/>
    <w:rsid w:val="00C1720C"/>
    <w:rsid w:val="00C17C10"/>
    <w:rsid w:val="00C2098A"/>
    <w:rsid w:val="00C20DFA"/>
    <w:rsid w:val="00C21756"/>
    <w:rsid w:val="00C21FAE"/>
    <w:rsid w:val="00C223A2"/>
    <w:rsid w:val="00C226AB"/>
    <w:rsid w:val="00C22C7F"/>
    <w:rsid w:val="00C22EED"/>
    <w:rsid w:val="00C230BB"/>
    <w:rsid w:val="00C2355C"/>
    <w:rsid w:val="00C2427E"/>
    <w:rsid w:val="00C242A9"/>
    <w:rsid w:val="00C243A4"/>
    <w:rsid w:val="00C25FDF"/>
    <w:rsid w:val="00C26203"/>
    <w:rsid w:val="00C265B3"/>
    <w:rsid w:val="00C26619"/>
    <w:rsid w:val="00C26C58"/>
    <w:rsid w:val="00C27E40"/>
    <w:rsid w:val="00C3044F"/>
    <w:rsid w:val="00C30FA8"/>
    <w:rsid w:val="00C3108D"/>
    <w:rsid w:val="00C3168F"/>
    <w:rsid w:val="00C3345F"/>
    <w:rsid w:val="00C33B68"/>
    <w:rsid w:val="00C33C99"/>
    <w:rsid w:val="00C3400E"/>
    <w:rsid w:val="00C34309"/>
    <w:rsid w:val="00C37FB4"/>
    <w:rsid w:val="00C4012E"/>
    <w:rsid w:val="00C40456"/>
    <w:rsid w:val="00C408FC"/>
    <w:rsid w:val="00C40A8A"/>
    <w:rsid w:val="00C40B2B"/>
    <w:rsid w:val="00C40BCF"/>
    <w:rsid w:val="00C40CD9"/>
    <w:rsid w:val="00C42CE1"/>
    <w:rsid w:val="00C42ED6"/>
    <w:rsid w:val="00C43564"/>
    <w:rsid w:val="00C4360D"/>
    <w:rsid w:val="00C440F0"/>
    <w:rsid w:val="00C44FD2"/>
    <w:rsid w:val="00C4500E"/>
    <w:rsid w:val="00C465BF"/>
    <w:rsid w:val="00C4696D"/>
    <w:rsid w:val="00C46DAD"/>
    <w:rsid w:val="00C50D96"/>
    <w:rsid w:val="00C5119D"/>
    <w:rsid w:val="00C511A8"/>
    <w:rsid w:val="00C5175F"/>
    <w:rsid w:val="00C51A30"/>
    <w:rsid w:val="00C51D68"/>
    <w:rsid w:val="00C51DDE"/>
    <w:rsid w:val="00C51DE6"/>
    <w:rsid w:val="00C521BC"/>
    <w:rsid w:val="00C523B0"/>
    <w:rsid w:val="00C531F5"/>
    <w:rsid w:val="00C53373"/>
    <w:rsid w:val="00C54508"/>
    <w:rsid w:val="00C54572"/>
    <w:rsid w:val="00C54687"/>
    <w:rsid w:val="00C57230"/>
    <w:rsid w:val="00C57CFE"/>
    <w:rsid w:val="00C60951"/>
    <w:rsid w:val="00C61DCF"/>
    <w:rsid w:val="00C625D8"/>
    <w:rsid w:val="00C629F4"/>
    <w:rsid w:val="00C63AF6"/>
    <w:rsid w:val="00C63FE0"/>
    <w:rsid w:val="00C6411F"/>
    <w:rsid w:val="00C6430F"/>
    <w:rsid w:val="00C6503E"/>
    <w:rsid w:val="00C65CBA"/>
    <w:rsid w:val="00C701F7"/>
    <w:rsid w:val="00C72A06"/>
    <w:rsid w:val="00C7379B"/>
    <w:rsid w:val="00C73C0C"/>
    <w:rsid w:val="00C74315"/>
    <w:rsid w:val="00C74486"/>
    <w:rsid w:val="00C74616"/>
    <w:rsid w:val="00C7484E"/>
    <w:rsid w:val="00C74AA4"/>
    <w:rsid w:val="00C74B6E"/>
    <w:rsid w:val="00C74E2A"/>
    <w:rsid w:val="00C75906"/>
    <w:rsid w:val="00C76029"/>
    <w:rsid w:val="00C7634A"/>
    <w:rsid w:val="00C76800"/>
    <w:rsid w:val="00C770B2"/>
    <w:rsid w:val="00C779A1"/>
    <w:rsid w:val="00C80596"/>
    <w:rsid w:val="00C8216F"/>
    <w:rsid w:val="00C822EA"/>
    <w:rsid w:val="00C823C8"/>
    <w:rsid w:val="00C82F84"/>
    <w:rsid w:val="00C831C0"/>
    <w:rsid w:val="00C83462"/>
    <w:rsid w:val="00C83AF7"/>
    <w:rsid w:val="00C83BCF"/>
    <w:rsid w:val="00C84376"/>
    <w:rsid w:val="00C84969"/>
    <w:rsid w:val="00C8497B"/>
    <w:rsid w:val="00C852A6"/>
    <w:rsid w:val="00C86220"/>
    <w:rsid w:val="00C876A4"/>
    <w:rsid w:val="00C900A2"/>
    <w:rsid w:val="00C902F2"/>
    <w:rsid w:val="00C90580"/>
    <w:rsid w:val="00C90F94"/>
    <w:rsid w:val="00C9118A"/>
    <w:rsid w:val="00C91675"/>
    <w:rsid w:val="00C91A6F"/>
    <w:rsid w:val="00C9215C"/>
    <w:rsid w:val="00C9339C"/>
    <w:rsid w:val="00C933DD"/>
    <w:rsid w:val="00C93F7E"/>
    <w:rsid w:val="00C93FBD"/>
    <w:rsid w:val="00C947B5"/>
    <w:rsid w:val="00C94D06"/>
    <w:rsid w:val="00C952CA"/>
    <w:rsid w:val="00C963C8"/>
    <w:rsid w:val="00C96AA1"/>
    <w:rsid w:val="00C96BF6"/>
    <w:rsid w:val="00C97255"/>
    <w:rsid w:val="00C97478"/>
    <w:rsid w:val="00C97B5B"/>
    <w:rsid w:val="00CA1163"/>
    <w:rsid w:val="00CA1618"/>
    <w:rsid w:val="00CA242B"/>
    <w:rsid w:val="00CA2E11"/>
    <w:rsid w:val="00CA3250"/>
    <w:rsid w:val="00CA3B62"/>
    <w:rsid w:val="00CA3D42"/>
    <w:rsid w:val="00CA3F65"/>
    <w:rsid w:val="00CA50C9"/>
    <w:rsid w:val="00CA5148"/>
    <w:rsid w:val="00CA5249"/>
    <w:rsid w:val="00CA5351"/>
    <w:rsid w:val="00CA75B0"/>
    <w:rsid w:val="00CA76D5"/>
    <w:rsid w:val="00CA7DBA"/>
    <w:rsid w:val="00CB01CB"/>
    <w:rsid w:val="00CB07D0"/>
    <w:rsid w:val="00CB0A84"/>
    <w:rsid w:val="00CB0DE3"/>
    <w:rsid w:val="00CB1346"/>
    <w:rsid w:val="00CB1427"/>
    <w:rsid w:val="00CB1FDE"/>
    <w:rsid w:val="00CB2045"/>
    <w:rsid w:val="00CB304B"/>
    <w:rsid w:val="00CB417E"/>
    <w:rsid w:val="00CB42DC"/>
    <w:rsid w:val="00CB4853"/>
    <w:rsid w:val="00CB4FEA"/>
    <w:rsid w:val="00CB58B7"/>
    <w:rsid w:val="00CB6B96"/>
    <w:rsid w:val="00CB7226"/>
    <w:rsid w:val="00CB7396"/>
    <w:rsid w:val="00CB7B94"/>
    <w:rsid w:val="00CB7F64"/>
    <w:rsid w:val="00CC09EF"/>
    <w:rsid w:val="00CC1D0F"/>
    <w:rsid w:val="00CC2141"/>
    <w:rsid w:val="00CC2AF3"/>
    <w:rsid w:val="00CC2EF7"/>
    <w:rsid w:val="00CC3984"/>
    <w:rsid w:val="00CC3A18"/>
    <w:rsid w:val="00CC3E2C"/>
    <w:rsid w:val="00CC4AF1"/>
    <w:rsid w:val="00CC59D2"/>
    <w:rsid w:val="00CC6760"/>
    <w:rsid w:val="00CC6F64"/>
    <w:rsid w:val="00CC795E"/>
    <w:rsid w:val="00CD0871"/>
    <w:rsid w:val="00CD1882"/>
    <w:rsid w:val="00CD1A24"/>
    <w:rsid w:val="00CD1CC9"/>
    <w:rsid w:val="00CD1EE9"/>
    <w:rsid w:val="00CD315B"/>
    <w:rsid w:val="00CD3A65"/>
    <w:rsid w:val="00CD461D"/>
    <w:rsid w:val="00CD52A4"/>
    <w:rsid w:val="00CD54CB"/>
    <w:rsid w:val="00CD6ACD"/>
    <w:rsid w:val="00CD7262"/>
    <w:rsid w:val="00CD7C83"/>
    <w:rsid w:val="00CD7F74"/>
    <w:rsid w:val="00CE0AAE"/>
    <w:rsid w:val="00CE144F"/>
    <w:rsid w:val="00CE1655"/>
    <w:rsid w:val="00CE2768"/>
    <w:rsid w:val="00CE2D89"/>
    <w:rsid w:val="00CE3779"/>
    <w:rsid w:val="00CE54AC"/>
    <w:rsid w:val="00CE5508"/>
    <w:rsid w:val="00CE6233"/>
    <w:rsid w:val="00CE630C"/>
    <w:rsid w:val="00CE6BD8"/>
    <w:rsid w:val="00CE6C73"/>
    <w:rsid w:val="00CE7ACF"/>
    <w:rsid w:val="00CE7F41"/>
    <w:rsid w:val="00CF01BB"/>
    <w:rsid w:val="00CF193F"/>
    <w:rsid w:val="00CF1BEF"/>
    <w:rsid w:val="00CF1C31"/>
    <w:rsid w:val="00CF2024"/>
    <w:rsid w:val="00CF2206"/>
    <w:rsid w:val="00CF3BB1"/>
    <w:rsid w:val="00CF4265"/>
    <w:rsid w:val="00CF4884"/>
    <w:rsid w:val="00CF5917"/>
    <w:rsid w:val="00CF66C8"/>
    <w:rsid w:val="00CF6B21"/>
    <w:rsid w:val="00CF6FD5"/>
    <w:rsid w:val="00CF7A33"/>
    <w:rsid w:val="00CF7D82"/>
    <w:rsid w:val="00D0033C"/>
    <w:rsid w:val="00D0137D"/>
    <w:rsid w:val="00D0221E"/>
    <w:rsid w:val="00D038E6"/>
    <w:rsid w:val="00D0452D"/>
    <w:rsid w:val="00D04B7B"/>
    <w:rsid w:val="00D051B9"/>
    <w:rsid w:val="00D05CB1"/>
    <w:rsid w:val="00D0618B"/>
    <w:rsid w:val="00D063D1"/>
    <w:rsid w:val="00D07230"/>
    <w:rsid w:val="00D102E6"/>
    <w:rsid w:val="00D103DD"/>
    <w:rsid w:val="00D109FF"/>
    <w:rsid w:val="00D10B0C"/>
    <w:rsid w:val="00D10F64"/>
    <w:rsid w:val="00D1254C"/>
    <w:rsid w:val="00D12DB4"/>
    <w:rsid w:val="00D13B5D"/>
    <w:rsid w:val="00D145EF"/>
    <w:rsid w:val="00D14BBC"/>
    <w:rsid w:val="00D14BE5"/>
    <w:rsid w:val="00D158B9"/>
    <w:rsid w:val="00D15906"/>
    <w:rsid w:val="00D15E07"/>
    <w:rsid w:val="00D15E8B"/>
    <w:rsid w:val="00D17083"/>
    <w:rsid w:val="00D17854"/>
    <w:rsid w:val="00D20431"/>
    <w:rsid w:val="00D21221"/>
    <w:rsid w:val="00D21EAB"/>
    <w:rsid w:val="00D22405"/>
    <w:rsid w:val="00D22DFB"/>
    <w:rsid w:val="00D230C3"/>
    <w:rsid w:val="00D23870"/>
    <w:rsid w:val="00D23E2C"/>
    <w:rsid w:val="00D2751C"/>
    <w:rsid w:val="00D277FD"/>
    <w:rsid w:val="00D3022A"/>
    <w:rsid w:val="00D30ACD"/>
    <w:rsid w:val="00D31035"/>
    <w:rsid w:val="00D3135F"/>
    <w:rsid w:val="00D31E79"/>
    <w:rsid w:val="00D324BF"/>
    <w:rsid w:val="00D3250F"/>
    <w:rsid w:val="00D32D7B"/>
    <w:rsid w:val="00D33846"/>
    <w:rsid w:val="00D3389F"/>
    <w:rsid w:val="00D34B55"/>
    <w:rsid w:val="00D35262"/>
    <w:rsid w:val="00D35F13"/>
    <w:rsid w:val="00D36822"/>
    <w:rsid w:val="00D36EE8"/>
    <w:rsid w:val="00D37476"/>
    <w:rsid w:val="00D379BC"/>
    <w:rsid w:val="00D37D16"/>
    <w:rsid w:val="00D401E0"/>
    <w:rsid w:val="00D40519"/>
    <w:rsid w:val="00D40A7B"/>
    <w:rsid w:val="00D41707"/>
    <w:rsid w:val="00D42836"/>
    <w:rsid w:val="00D4347F"/>
    <w:rsid w:val="00D43612"/>
    <w:rsid w:val="00D43806"/>
    <w:rsid w:val="00D43F3E"/>
    <w:rsid w:val="00D4402A"/>
    <w:rsid w:val="00D44217"/>
    <w:rsid w:val="00D45F6C"/>
    <w:rsid w:val="00D47856"/>
    <w:rsid w:val="00D47B4F"/>
    <w:rsid w:val="00D50095"/>
    <w:rsid w:val="00D50790"/>
    <w:rsid w:val="00D50A8D"/>
    <w:rsid w:val="00D52512"/>
    <w:rsid w:val="00D5257C"/>
    <w:rsid w:val="00D53348"/>
    <w:rsid w:val="00D53939"/>
    <w:rsid w:val="00D5448E"/>
    <w:rsid w:val="00D54A7E"/>
    <w:rsid w:val="00D566D3"/>
    <w:rsid w:val="00D57792"/>
    <w:rsid w:val="00D60719"/>
    <w:rsid w:val="00D60AF6"/>
    <w:rsid w:val="00D60EB6"/>
    <w:rsid w:val="00D6112F"/>
    <w:rsid w:val="00D620C6"/>
    <w:rsid w:val="00D6241C"/>
    <w:rsid w:val="00D62615"/>
    <w:rsid w:val="00D62631"/>
    <w:rsid w:val="00D62A1E"/>
    <w:rsid w:val="00D62C85"/>
    <w:rsid w:val="00D64486"/>
    <w:rsid w:val="00D647AA"/>
    <w:rsid w:val="00D647E1"/>
    <w:rsid w:val="00D64F04"/>
    <w:rsid w:val="00D65222"/>
    <w:rsid w:val="00D6529A"/>
    <w:rsid w:val="00D6583E"/>
    <w:rsid w:val="00D65A71"/>
    <w:rsid w:val="00D65D7A"/>
    <w:rsid w:val="00D66A80"/>
    <w:rsid w:val="00D700BB"/>
    <w:rsid w:val="00D70AB6"/>
    <w:rsid w:val="00D717CF"/>
    <w:rsid w:val="00D72A39"/>
    <w:rsid w:val="00D73A1C"/>
    <w:rsid w:val="00D73A65"/>
    <w:rsid w:val="00D74083"/>
    <w:rsid w:val="00D75281"/>
    <w:rsid w:val="00D764AB"/>
    <w:rsid w:val="00D764BD"/>
    <w:rsid w:val="00D76A64"/>
    <w:rsid w:val="00D77028"/>
    <w:rsid w:val="00D7735B"/>
    <w:rsid w:val="00D80785"/>
    <w:rsid w:val="00D80BB7"/>
    <w:rsid w:val="00D80EFA"/>
    <w:rsid w:val="00D81053"/>
    <w:rsid w:val="00D81E3C"/>
    <w:rsid w:val="00D83ED8"/>
    <w:rsid w:val="00D83F44"/>
    <w:rsid w:val="00D84481"/>
    <w:rsid w:val="00D844E8"/>
    <w:rsid w:val="00D84DB6"/>
    <w:rsid w:val="00D85179"/>
    <w:rsid w:val="00D86C00"/>
    <w:rsid w:val="00D87239"/>
    <w:rsid w:val="00D876AB"/>
    <w:rsid w:val="00D90DAF"/>
    <w:rsid w:val="00D91D19"/>
    <w:rsid w:val="00D9206C"/>
    <w:rsid w:val="00D92AED"/>
    <w:rsid w:val="00D92E67"/>
    <w:rsid w:val="00D94A25"/>
    <w:rsid w:val="00D955B9"/>
    <w:rsid w:val="00D955CA"/>
    <w:rsid w:val="00D95944"/>
    <w:rsid w:val="00D97986"/>
    <w:rsid w:val="00DA0F44"/>
    <w:rsid w:val="00DA170A"/>
    <w:rsid w:val="00DA1CCF"/>
    <w:rsid w:val="00DA23F8"/>
    <w:rsid w:val="00DA2AF8"/>
    <w:rsid w:val="00DA2C35"/>
    <w:rsid w:val="00DA4966"/>
    <w:rsid w:val="00DA5D9E"/>
    <w:rsid w:val="00DA6006"/>
    <w:rsid w:val="00DA651B"/>
    <w:rsid w:val="00DA6740"/>
    <w:rsid w:val="00DA68D5"/>
    <w:rsid w:val="00DB080B"/>
    <w:rsid w:val="00DB18A7"/>
    <w:rsid w:val="00DB204A"/>
    <w:rsid w:val="00DB21EB"/>
    <w:rsid w:val="00DB24BF"/>
    <w:rsid w:val="00DB432B"/>
    <w:rsid w:val="00DB45F1"/>
    <w:rsid w:val="00DB4BFF"/>
    <w:rsid w:val="00DB4CF7"/>
    <w:rsid w:val="00DB57EB"/>
    <w:rsid w:val="00DB6105"/>
    <w:rsid w:val="00DB61E1"/>
    <w:rsid w:val="00DB650E"/>
    <w:rsid w:val="00DB6F32"/>
    <w:rsid w:val="00DC030E"/>
    <w:rsid w:val="00DC055C"/>
    <w:rsid w:val="00DC2AF4"/>
    <w:rsid w:val="00DC2EAD"/>
    <w:rsid w:val="00DC3ADE"/>
    <w:rsid w:val="00DC4432"/>
    <w:rsid w:val="00DC445E"/>
    <w:rsid w:val="00DC462D"/>
    <w:rsid w:val="00DC4E77"/>
    <w:rsid w:val="00DC5D8E"/>
    <w:rsid w:val="00DC68B4"/>
    <w:rsid w:val="00DC6B1D"/>
    <w:rsid w:val="00DC6C5C"/>
    <w:rsid w:val="00DC7788"/>
    <w:rsid w:val="00DC7D59"/>
    <w:rsid w:val="00DD0631"/>
    <w:rsid w:val="00DD1016"/>
    <w:rsid w:val="00DD1C7D"/>
    <w:rsid w:val="00DD1F4A"/>
    <w:rsid w:val="00DD21B5"/>
    <w:rsid w:val="00DD2A47"/>
    <w:rsid w:val="00DD2BA9"/>
    <w:rsid w:val="00DD3155"/>
    <w:rsid w:val="00DD3482"/>
    <w:rsid w:val="00DD44A2"/>
    <w:rsid w:val="00DD479D"/>
    <w:rsid w:val="00DD4944"/>
    <w:rsid w:val="00DD4AE3"/>
    <w:rsid w:val="00DD4C16"/>
    <w:rsid w:val="00DD4F54"/>
    <w:rsid w:val="00DD5A79"/>
    <w:rsid w:val="00DD5E5B"/>
    <w:rsid w:val="00DD62F0"/>
    <w:rsid w:val="00DD6EB9"/>
    <w:rsid w:val="00DE01B2"/>
    <w:rsid w:val="00DE047B"/>
    <w:rsid w:val="00DE0C05"/>
    <w:rsid w:val="00DE1EBF"/>
    <w:rsid w:val="00DE23EA"/>
    <w:rsid w:val="00DE27F0"/>
    <w:rsid w:val="00DE2FA7"/>
    <w:rsid w:val="00DE3111"/>
    <w:rsid w:val="00DE3C48"/>
    <w:rsid w:val="00DE40B0"/>
    <w:rsid w:val="00DE5C4A"/>
    <w:rsid w:val="00DE5D1C"/>
    <w:rsid w:val="00DE60DF"/>
    <w:rsid w:val="00DE674C"/>
    <w:rsid w:val="00DE6F6A"/>
    <w:rsid w:val="00DE709A"/>
    <w:rsid w:val="00DE761F"/>
    <w:rsid w:val="00DF0353"/>
    <w:rsid w:val="00DF0CD9"/>
    <w:rsid w:val="00DF2FC3"/>
    <w:rsid w:val="00DF405E"/>
    <w:rsid w:val="00DF4079"/>
    <w:rsid w:val="00DF5799"/>
    <w:rsid w:val="00DF5A65"/>
    <w:rsid w:val="00DF5BE9"/>
    <w:rsid w:val="00DF684B"/>
    <w:rsid w:val="00DF6AA0"/>
    <w:rsid w:val="00DF6B6F"/>
    <w:rsid w:val="00DF7490"/>
    <w:rsid w:val="00DF7AB7"/>
    <w:rsid w:val="00DF7D2A"/>
    <w:rsid w:val="00E00E49"/>
    <w:rsid w:val="00E01414"/>
    <w:rsid w:val="00E015F0"/>
    <w:rsid w:val="00E01C96"/>
    <w:rsid w:val="00E01CC3"/>
    <w:rsid w:val="00E0231C"/>
    <w:rsid w:val="00E02D9E"/>
    <w:rsid w:val="00E03FB5"/>
    <w:rsid w:val="00E05100"/>
    <w:rsid w:val="00E05474"/>
    <w:rsid w:val="00E05949"/>
    <w:rsid w:val="00E05EB5"/>
    <w:rsid w:val="00E06219"/>
    <w:rsid w:val="00E06861"/>
    <w:rsid w:val="00E06E2F"/>
    <w:rsid w:val="00E070CB"/>
    <w:rsid w:val="00E07EB0"/>
    <w:rsid w:val="00E10F32"/>
    <w:rsid w:val="00E117E1"/>
    <w:rsid w:val="00E12212"/>
    <w:rsid w:val="00E12595"/>
    <w:rsid w:val="00E12A78"/>
    <w:rsid w:val="00E12BA5"/>
    <w:rsid w:val="00E14F01"/>
    <w:rsid w:val="00E15233"/>
    <w:rsid w:val="00E15284"/>
    <w:rsid w:val="00E1530D"/>
    <w:rsid w:val="00E15638"/>
    <w:rsid w:val="00E16DAE"/>
    <w:rsid w:val="00E17ADC"/>
    <w:rsid w:val="00E2047E"/>
    <w:rsid w:val="00E20D90"/>
    <w:rsid w:val="00E2212C"/>
    <w:rsid w:val="00E22754"/>
    <w:rsid w:val="00E23456"/>
    <w:rsid w:val="00E24404"/>
    <w:rsid w:val="00E2460B"/>
    <w:rsid w:val="00E250B6"/>
    <w:rsid w:val="00E272A4"/>
    <w:rsid w:val="00E27450"/>
    <w:rsid w:val="00E2781F"/>
    <w:rsid w:val="00E300C7"/>
    <w:rsid w:val="00E308F0"/>
    <w:rsid w:val="00E30C17"/>
    <w:rsid w:val="00E30CCE"/>
    <w:rsid w:val="00E30F36"/>
    <w:rsid w:val="00E3100D"/>
    <w:rsid w:val="00E31085"/>
    <w:rsid w:val="00E3140A"/>
    <w:rsid w:val="00E31CA3"/>
    <w:rsid w:val="00E321D7"/>
    <w:rsid w:val="00E34D85"/>
    <w:rsid w:val="00E36F4A"/>
    <w:rsid w:val="00E36FFF"/>
    <w:rsid w:val="00E4103A"/>
    <w:rsid w:val="00E4117B"/>
    <w:rsid w:val="00E41968"/>
    <w:rsid w:val="00E4231F"/>
    <w:rsid w:val="00E42893"/>
    <w:rsid w:val="00E43902"/>
    <w:rsid w:val="00E4488F"/>
    <w:rsid w:val="00E44DA8"/>
    <w:rsid w:val="00E453D1"/>
    <w:rsid w:val="00E456DE"/>
    <w:rsid w:val="00E45AD9"/>
    <w:rsid w:val="00E45D89"/>
    <w:rsid w:val="00E4605C"/>
    <w:rsid w:val="00E476AE"/>
    <w:rsid w:val="00E47967"/>
    <w:rsid w:val="00E47AAF"/>
    <w:rsid w:val="00E500A8"/>
    <w:rsid w:val="00E5039C"/>
    <w:rsid w:val="00E504BE"/>
    <w:rsid w:val="00E50AB3"/>
    <w:rsid w:val="00E5117E"/>
    <w:rsid w:val="00E51BF4"/>
    <w:rsid w:val="00E526C1"/>
    <w:rsid w:val="00E52D4D"/>
    <w:rsid w:val="00E53964"/>
    <w:rsid w:val="00E5416F"/>
    <w:rsid w:val="00E54AFB"/>
    <w:rsid w:val="00E54F41"/>
    <w:rsid w:val="00E55961"/>
    <w:rsid w:val="00E55F6E"/>
    <w:rsid w:val="00E57269"/>
    <w:rsid w:val="00E576B1"/>
    <w:rsid w:val="00E60700"/>
    <w:rsid w:val="00E60C1B"/>
    <w:rsid w:val="00E612A8"/>
    <w:rsid w:val="00E61792"/>
    <w:rsid w:val="00E621EE"/>
    <w:rsid w:val="00E629A9"/>
    <w:rsid w:val="00E64347"/>
    <w:rsid w:val="00E64588"/>
    <w:rsid w:val="00E64619"/>
    <w:rsid w:val="00E64770"/>
    <w:rsid w:val="00E65DA6"/>
    <w:rsid w:val="00E66809"/>
    <w:rsid w:val="00E67460"/>
    <w:rsid w:val="00E67571"/>
    <w:rsid w:val="00E702DE"/>
    <w:rsid w:val="00E707B7"/>
    <w:rsid w:val="00E70952"/>
    <w:rsid w:val="00E7095B"/>
    <w:rsid w:val="00E7146E"/>
    <w:rsid w:val="00E71774"/>
    <w:rsid w:val="00E72548"/>
    <w:rsid w:val="00E72FA1"/>
    <w:rsid w:val="00E73884"/>
    <w:rsid w:val="00E744E0"/>
    <w:rsid w:val="00E74527"/>
    <w:rsid w:val="00E75714"/>
    <w:rsid w:val="00E75CD5"/>
    <w:rsid w:val="00E75F8B"/>
    <w:rsid w:val="00E774E8"/>
    <w:rsid w:val="00E7759B"/>
    <w:rsid w:val="00E81822"/>
    <w:rsid w:val="00E81A76"/>
    <w:rsid w:val="00E81B71"/>
    <w:rsid w:val="00E8202C"/>
    <w:rsid w:val="00E83105"/>
    <w:rsid w:val="00E83594"/>
    <w:rsid w:val="00E840B0"/>
    <w:rsid w:val="00E850E7"/>
    <w:rsid w:val="00E87181"/>
    <w:rsid w:val="00E9040C"/>
    <w:rsid w:val="00E90556"/>
    <w:rsid w:val="00E9088C"/>
    <w:rsid w:val="00E90FAB"/>
    <w:rsid w:val="00E91378"/>
    <w:rsid w:val="00E92179"/>
    <w:rsid w:val="00E9259D"/>
    <w:rsid w:val="00E92B0B"/>
    <w:rsid w:val="00E93873"/>
    <w:rsid w:val="00E93B6F"/>
    <w:rsid w:val="00E9480B"/>
    <w:rsid w:val="00E96126"/>
    <w:rsid w:val="00E972ED"/>
    <w:rsid w:val="00E97341"/>
    <w:rsid w:val="00EA1962"/>
    <w:rsid w:val="00EA27B5"/>
    <w:rsid w:val="00EA2814"/>
    <w:rsid w:val="00EA2B5C"/>
    <w:rsid w:val="00EA572A"/>
    <w:rsid w:val="00EA57DA"/>
    <w:rsid w:val="00EA5B3D"/>
    <w:rsid w:val="00EA5DCF"/>
    <w:rsid w:val="00EA5F35"/>
    <w:rsid w:val="00EA6510"/>
    <w:rsid w:val="00EA6F32"/>
    <w:rsid w:val="00EA7B66"/>
    <w:rsid w:val="00EA7D05"/>
    <w:rsid w:val="00EA7F8F"/>
    <w:rsid w:val="00EB025B"/>
    <w:rsid w:val="00EB0920"/>
    <w:rsid w:val="00EB2586"/>
    <w:rsid w:val="00EB352D"/>
    <w:rsid w:val="00EB4111"/>
    <w:rsid w:val="00EB4CF7"/>
    <w:rsid w:val="00EB537C"/>
    <w:rsid w:val="00EB5642"/>
    <w:rsid w:val="00EB575D"/>
    <w:rsid w:val="00EB6A5F"/>
    <w:rsid w:val="00EB6CE2"/>
    <w:rsid w:val="00EB7F4F"/>
    <w:rsid w:val="00EB7FAE"/>
    <w:rsid w:val="00EC0617"/>
    <w:rsid w:val="00EC107D"/>
    <w:rsid w:val="00EC1880"/>
    <w:rsid w:val="00EC20DF"/>
    <w:rsid w:val="00EC3853"/>
    <w:rsid w:val="00EC4531"/>
    <w:rsid w:val="00EC4BD6"/>
    <w:rsid w:val="00EC4F35"/>
    <w:rsid w:val="00EC5808"/>
    <w:rsid w:val="00EC5BE5"/>
    <w:rsid w:val="00EC6629"/>
    <w:rsid w:val="00EC6760"/>
    <w:rsid w:val="00EC6AAD"/>
    <w:rsid w:val="00EC6B96"/>
    <w:rsid w:val="00EC6BB0"/>
    <w:rsid w:val="00EC6C72"/>
    <w:rsid w:val="00EC7E54"/>
    <w:rsid w:val="00ED0F58"/>
    <w:rsid w:val="00ED105E"/>
    <w:rsid w:val="00ED1213"/>
    <w:rsid w:val="00ED1A3F"/>
    <w:rsid w:val="00ED2273"/>
    <w:rsid w:val="00ED22DE"/>
    <w:rsid w:val="00ED27AC"/>
    <w:rsid w:val="00ED33B2"/>
    <w:rsid w:val="00ED380D"/>
    <w:rsid w:val="00ED3B3A"/>
    <w:rsid w:val="00ED404F"/>
    <w:rsid w:val="00ED516E"/>
    <w:rsid w:val="00ED696D"/>
    <w:rsid w:val="00ED7665"/>
    <w:rsid w:val="00ED7CEA"/>
    <w:rsid w:val="00ED7F84"/>
    <w:rsid w:val="00EE0744"/>
    <w:rsid w:val="00EE0E9A"/>
    <w:rsid w:val="00EE0FAE"/>
    <w:rsid w:val="00EE1372"/>
    <w:rsid w:val="00EE15F6"/>
    <w:rsid w:val="00EE2150"/>
    <w:rsid w:val="00EE2B3E"/>
    <w:rsid w:val="00EE2E0B"/>
    <w:rsid w:val="00EE30DB"/>
    <w:rsid w:val="00EE3450"/>
    <w:rsid w:val="00EE39DA"/>
    <w:rsid w:val="00EE3E9D"/>
    <w:rsid w:val="00EE4754"/>
    <w:rsid w:val="00EE56EB"/>
    <w:rsid w:val="00EE57C1"/>
    <w:rsid w:val="00EE5ED6"/>
    <w:rsid w:val="00EE62F6"/>
    <w:rsid w:val="00EE6D02"/>
    <w:rsid w:val="00EE7F8B"/>
    <w:rsid w:val="00EF04C8"/>
    <w:rsid w:val="00EF07DF"/>
    <w:rsid w:val="00EF0F03"/>
    <w:rsid w:val="00EF1109"/>
    <w:rsid w:val="00EF1679"/>
    <w:rsid w:val="00EF1A24"/>
    <w:rsid w:val="00EF2442"/>
    <w:rsid w:val="00EF246C"/>
    <w:rsid w:val="00EF518A"/>
    <w:rsid w:val="00EF5BC1"/>
    <w:rsid w:val="00EF5EF6"/>
    <w:rsid w:val="00EF5F90"/>
    <w:rsid w:val="00EF6109"/>
    <w:rsid w:val="00EF6662"/>
    <w:rsid w:val="00EF6FE2"/>
    <w:rsid w:val="00EF71DE"/>
    <w:rsid w:val="00EF7C24"/>
    <w:rsid w:val="00EF7D24"/>
    <w:rsid w:val="00F01CB1"/>
    <w:rsid w:val="00F0208D"/>
    <w:rsid w:val="00F02501"/>
    <w:rsid w:val="00F02B18"/>
    <w:rsid w:val="00F034BD"/>
    <w:rsid w:val="00F03718"/>
    <w:rsid w:val="00F0448B"/>
    <w:rsid w:val="00F05F74"/>
    <w:rsid w:val="00F06242"/>
    <w:rsid w:val="00F062E4"/>
    <w:rsid w:val="00F0683B"/>
    <w:rsid w:val="00F06932"/>
    <w:rsid w:val="00F06B13"/>
    <w:rsid w:val="00F10191"/>
    <w:rsid w:val="00F1073E"/>
    <w:rsid w:val="00F108B5"/>
    <w:rsid w:val="00F10D36"/>
    <w:rsid w:val="00F12193"/>
    <w:rsid w:val="00F12CF5"/>
    <w:rsid w:val="00F135DB"/>
    <w:rsid w:val="00F13C43"/>
    <w:rsid w:val="00F14360"/>
    <w:rsid w:val="00F1517B"/>
    <w:rsid w:val="00F15963"/>
    <w:rsid w:val="00F16037"/>
    <w:rsid w:val="00F1624B"/>
    <w:rsid w:val="00F16453"/>
    <w:rsid w:val="00F16A14"/>
    <w:rsid w:val="00F172F2"/>
    <w:rsid w:val="00F17F14"/>
    <w:rsid w:val="00F20070"/>
    <w:rsid w:val="00F20C7E"/>
    <w:rsid w:val="00F2101E"/>
    <w:rsid w:val="00F212DB"/>
    <w:rsid w:val="00F21BB8"/>
    <w:rsid w:val="00F22E79"/>
    <w:rsid w:val="00F235CC"/>
    <w:rsid w:val="00F235CD"/>
    <w:rsid w:val="00F23680"/>
    <w:rsid w:val="00F2392B"/>
    <w:rsid w:val="00F24E28"/>
    <w:rsid w:val="00F250F6"/>
    <w:rsid w:val="00F25EDA"/>
    <w:rsid w:val="00F26304"/>
    <w:rsid w:val="00F263A7"/>
    <w:rsid w:val="00F26CF7"/>
    <w:rsid w:val="00F27358"/>
    <w:rsid w:val="00F313FE"/>
    <w:rsid w:val="00F31464"/>
    <w:rsid w:val="00F31848"/>
    <w:rsid w:val="00F31A07"/>
    <w:rsid w:val="00F31D9E"/>
    <w:rsid w:val="00F3208A"/>
    <w:rsid w:val="00F34168"/>
    <w:rsid w:val="00F3441D"/>
    <w:rsid w:val="00F34FD9"/>
    <w:rsid w:val="00F35A62"/>
    <w:rsid w:val="00F3687C"/>
    <w:rsid w:val="00F36932"/>
    <w:rsid w:val="00F36CEE"/>
    <w:rsid w:val="00F41498"/>
    <w:rsid w:val="00F41C00"/>
    <w:rsid w:val="00F426A7"/>
    <w:rsid w:val="00F4537C"/>
    <w:rsid w:val="00F45D54"/>
    <w:rsid w:val="00F45FDC"/>
    <w:rsid w:val="00F4600D"/>
    <w:rsid w:val="00F46169"/>
    <w:rsid w:val="00F46587"/>
    <w:rsid w:val="00F46675"/>
    <w:rsid w:val="00F46B52"/>
    <w:rsid w:val="00F47294"/>
    <w:rsid w:val="00F477B3"/>
    <w:rsid w:val="00F5096A"/>
    <w:rsid w:val="00F50CBA"/>
    <w:rsid w:val="00F50E69"/>
    <w:rsid w:val="00F512E9"/>
    <w:rsid w:val="00F5154D"/>
    <w:rsid w:val="00F516C0"/>
    <w:rsid w:val="00F51F99"/>
    <w:rsid w:val="00F53E05"/>
    <w:rsid w:val="00F545A1"/>
    <w:rsid w:val="00F5469B"/>
    <w:rsid w:val="00F54A91"/>
    <w:rsid w:val="00F5559D"/>
    <w:rsid w:val="00F5581F"/>
    <w:rsid w:val="00F5651F"/>
    <w:rsid w:val="00F568DF"/>
    <w:rsid w:val="00F56B5A"/>
    <w:rsid w:val="00F56C01"/>
    <w:rsid w:val="00F608FB"/>
    <w:rsid w:val="00F60D98"/>
    <w:rsid w:val="00F61740"/>
    <w:rsid w:val="00F61752"/>
    <w:rsid w:val="00F623F3"/>
    <w:rsid w:val="00F6275F"/>
    <w:rsid w:val="00F631C9"/>
    <w:rsid w:val="00F636D6"/>
    <w:rsid w:val="00F639D4"/>
    <w:rsid w:val="00F63DD3"/>
    <w:rsid w:val="00F63E43"/>
    <w:rsid w:val="00F63F9B"/>
    <w:rsid w:val="00F64221"/>
    <w:rsid w:val="00F65430"/>
    <w:rsid w:val="00F65DFE"/>
    <w:rsid w:val="00F65E46"/>
    <w:rsid w:val="00F66039"/>
    <w:rsid w:val="00F66D86"/>
    <w:rsid w:val="00F66E1D"/>
    <w:rsid w:val="00F67F5F"/>
    <w:rsid w:val="00F707DE"/>
    <w:rsid w:val="00F70887"/>
    <w:rsid w:val="00F70A23"/>
    <w:rsid w:val="00F70E91"/>
    <w:rsid w:val="00F71591"/>
    <w:rsid w:val="00F71EB7"/>
    <w:rsid w:val="00F71EC5"/>
    <w:rsid w:val="00F73148"/>
    <w:rsid w:val="00F73DE3"/>
    <w:rsid w:val="00F74645"/>
    <w:rsid w:val="00F74BC8"/>
    <w:rsid w:val="00F74EEE"/>
    <w:rsid w:val="00F76477"/>
    <w:rsid w:val="00F765BD"/>
    <w:rsid w:val="00F775E9"/>
    <w:rsid w:val="00F8000C"/>
    <w:rsid w:val="00F81579"/>
    <w:rsid w:val="00F8157A"/>
    <w:rsid w:val="00F81785"/>
    <w:rsid w:val="00F8190C"/>
    <w:rsid w:val="00F8414C"/>
    <w:rsid w:val="00F8441B"/>
    <w:rsid w:val="00F84AC0"/>
    <w:rsid w:val="00F84F02"/>
    <w:rsid w:val="00F85658"/>
    <w:rsid w:val="00F856EA"/>
    <w:rsid w:val="00F85893"/>
    <w:rsid w:val="00F85A57"/>
    <w:rsid w:val="00F85E5E"/>
    <w:rsid w:val="00F863DC"/>
    <w:rsid w:val="00F867BF"/>
    <w:rsid w:val="00F87E1C"/>
    <w:rsid w:val="00F90645"/>
    <w:rsid w:val="00F90BE1"/>
    <w:rsid w:val="00F90E75"/>
    <w:rsid w:val="00F90FB1"/>
    <w:rsid w:val="00F91325"/>
    <w:rsid w:val="00F93749"/>
    <w:rsid w:val="00F93C24"/>
    <w:rsid w:val="00F93D00"/>
    <w:rsid w:val="00F93E6B"/>
    <w:rsid w:val="00F944FF"/>
    <w:rsid w:val="00F94B04"/>
    <w:rsid w:val="00F95E5C"/>
    <w:rsid w:val="00F9605D"/>
    <w:rsid w:val="00F963B8"/>
    <w:rsid w:val="00F96510"/>
    <w:rsid w:val="00F9747A"/>
    <w:rsid w:val="00F97AF1"/>
    <w:rsid w:val="00F97CC3"/>
    <w:rsid w:val="00FA06A7"/>
    <w:rsid w:val="00FA09C1"/>
    <w:rsid w:val="00FA0D8C"/>
    <w:rsid w:val="00FA17E9"/>
    <w:rsid w:val="00FA1AF5"/>
    <w:rsid w:val="00FA248A"/>
    <w:rsid w:val="00FA3033"/>
    <w:rsid w:val="00FA3490"/>
    <w:rsid w:val="00FA36D5"/>
    <w:rsid w:val="00FA3E3D"/>
    <w:rsid w:val="00FA5398"/>
    <w:rsid w:val="00FA5AC8"/>
    <w:rsid w:val="00FA652F"/>
    <w:rsid w:val="00FA6750"/>
    <w:rsid w:val="00FA6A77"/>
    <w:rsid w:val="00FA6D1D"/>
    <w:rsid w:val="00FA76C5"/>
    <w:rsid w:val="00FA78DA"/>
    <w:rsid w:val="00FA7A50"/>
    <w:rsid w:val="00FB0183"/>
    <w:rsid w:val="00FB0519"/>
    <w:rsid w:val="00FB05BD"/>
    <w:rsid w:val="00FB0850"/>
    <w:rsid w:val="00FB0EB4"/>
    <w:rsid w:val="00FB119D"/>
    <w:rsid w:val="00FB11D4"/>
    <w:rsid w:val="00FB1C76"/>
    <w:rsid w:val="00FB2CBD"/>
    <w:rsid w:val="00FB41F1"/>
    <w:rsid w:val="00FB4782"/>
    <w:rsid w:val="00FB4809"/>
    <w:rsid w:val="00FB5369"/>
    <w:rsid w:val="00FB5593"/>
    <w:rsid w:val="00FB65E6"/>
    <w:rsid w:val="00FC029C"/>
    <w:rsid w:val="00FC0528"/>
    <w:rsid w:val="00FC0625"/>
    <w:rsid w:val="00FC06F6"/>
    <w:rsid w:val="00FC1AEC"/>
    <w:rsid w:val="00FC1D1D"/>
    <w:rsid w:val="00FC35E5"/>
    <w:rsid w:val="00FC3996"/>
    <w:rsid w:val="00FC40B2"/>
    <w:rsid w:val="00FC41F8"/>
    <w:rsid w:val="00FC4541"/>
    <w:rsid w:val="00FC469A"/>
    <w:rsid w:val="00FC4715"/>
    <w:rsid w:val="00FC4AA5"/>
    <w:rsid w:val="00FC4CEE"/>
    <w:rsid w:val="00FC4D86"/>
    <w:rsid w:val="00FC62C2"/>
    <w:rsid w:val="00FC7790"/>
    <w:rsid w:val="00FC78AD"/>
    <w:rsid w:val="00FC7B2D"/>
    <w:rsid w:val="00FC7FBB"/>
    <w:rsid w:val="00FD0045"/>
    <w:rsid w:val="00FD0059"/>
    <w:rsid w:val="00FD0281"/>
    <w:rsid w:val="00FD0319"/>
    <w:rsid w:val="00FD130D"/>
    <w:rsid w:val="00FD16E4"/>
    <w:rsid w:val="00FD1F38"/>
    <w:rsid w:val="00FD1F9C"/>
    <w:rsid w:val="00FD20EA"/>
    <w:rsid w:val="00FD2E85"/>
    <w:rsid w:val="00FD3A82"/>
    <w:rsid w:val="00FD3F53"/>
    <w:rsid w:val="00FD3FC3"/>
    <w:rsid w:val="00FD4B61"/>
    <w:rsid w:val="00FD5028"/>
    <w:rsid w:val="00FD6924"/>
    <w:rsid w:val="00FD790E"/>
    <w:rsid w:val="00FE01BB"/>
    <w:rsid w:val="00FE0776"/>
    <w:rsid w:val="00FE128F"/>
    <w:rsid w:val="00FE3793"/>
    <w:rsid w:val="00FE3867"/>
    <w:rsid w:val="00FE3E09"/>
    <w:rsid w:val="00FE3E82"/>
    <w:rsid w:val="00FE606A"/>
    <w:rsid w:val="00FE673B"/>
    <w:rsid w:val="00FE776B"/>
    <w:rsid w:val="00FF0CDE"/>
    <w:rsid w:val="00FF0E2E"/>
    <w:rsid w:val="00FF1AAE"/>
    <w:rsid w:val="00FF1FE5"/>
    <w:rsid w:val="00FF219F"/>
    <w:rsid w:val="00FF2DD7"/>
    <w:rsid w:val="00FF3057"/>
    <w:rsid w:val="00FF3222"/>
    <w:rsid w:val="00FF356A"/>
    <w:rsid w:val="00FF3E20"/>
    <w:rsid w:val="00FF41CD"/>
    <w:rsid w:val="00FF4389"/>
    <w:rsid w:val="00FF5C7F"/>
    <w:rsid w:val="00FF6EEC"/>
    <w:rsid w:val="00FF6FC9"/>
    <w:rsid w:val="00FF71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8FE5"/>
  <w15:docId w15:val="{B32A5B70-69A8-48F0-9BB9-8952626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828"/>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rsid w:val="003D4828"/>
    <w:pPr>
      <w:jc w:val="center"/>
    </w:pPr>
    <w:rPr>
      <w:b/>
      <w:sz w:val="36"/>
      <w:szCs w:val="20"/>
    </w:rPr>
  </w:style>
  <w:style w:type="paragraph" w:customStyle="1" w:styleId="CoverMain">
    <w:name w:val="CoverMain"/>
    <w:basedOn w:val="Normal"/>
    <w:rsid w:val="003D4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3D4828"/>
    <w:pPr>
      <w:jc w:val="right"/>
    </w:pPr>
    <w:rPr>
      <w:szCs w:val="20"/>
      <w:u w:val="single"/>
    </w:rPr>
  </w:style>
  <w:style w:type="paragraph" w:customStyle="1" w:styleId="ParaHeading">
    <w:name w:val="ParaHeading"/>
    <w:basedOn w:val="Normal"/>
    <w:next w:val="ParaLevel1"/>
    <w:rsid w:val="003D4828"/>
    <w:pPr>
      <w:keepNext/>
      <w:spacing w:before="240" w:after="240"/>
    </w:pPr>
    <w:rPr>
      <w:szCs w:val="20"/>
    </w:rPr>
  </w:style>
  <w:style w:type="paragraph" w:customStyle="1" w:styleId="ParaLevel1">
    <w:name w:val="ParaLevel1"/>
    <w:basedOn w:val="Normal"/>
    <w:rsid w:val="003D4828"/>
    <w:pPr>
      <w:numPr>
        <w:numId w:val="2"/>
      </w:numPr>
      <w:suppressAutoHyphens/>
      <w:spacing w:before="240" w:after="240"/>
      <w:jc w:val="both"/>
      <w:outlineLvl w:val="0"/>
    </w:pPr>
    <w:rPr>
      <w:szCs w:val="20"/>
    </w:rPr>
  </w:style>
  <w:style w:type="paragraph" w:customStyle="1" w:styleId="ParaLevel2">
    <w:name w:val="ParaLevel2"/>
    <w:basedOn w:val="Normal"/>
    <w:rsid w:val="003D4828"/>
    <w:pPr>
      <w:numPr>
        <w:ilvl w:val="1"/>
        <w:numId w:val="2"/>
      </w:numPr>
      <w:suppressAutoHyphens/>
      <w:spacing w:before="240" w:after="240"/>
      <w:jc w:val="both"/>
      <w:outlineLvl w:val="1"/>
    </w:pPr>
    <w:rPr>
      <w:szCs w:val="20"/>
    </w:rPr>
  </w:style>
  <w:style w:type="paragraph" w:customStyle="1" w:styleId="ParaLevel3">
    <w:name w:val="ParaLevel3"/>
    <w:basedOn w:val="Normal"/>
    <w:rsid w:val="003D4828"/>
    <w:pPr>
      <w:numPr>
        <w:ilvl w:val="2"/>
        <w:numId w:val="2"/>
      </w:numPr>
      <w:suppressAutoHyphens/>
      <w:spacing w:before="240" w:after="240"/>
      <w:jc w:val="both"/>
      <w:outlineLvl w:val="2"/>
    </w:pPr>
    <w:rPr>
      <w:szCs w:val="20"/>
    </w:rPr>
  </w:style>
  <w:style w:type="paragraph" w:customStyle="1" w:styleId="ParaLevel4">
    <w:name w:val="ParaLevel4"/>
    <w:basedOn w:val="Normal"/>
    <w:rsid w:val="003D4828"/>
    <w:pPr>
      <w:numPr>
        <w:ilvl w:val="3"/>
        <w:numId w:val="2"/>
      </w:numPr>
      <w:suppressAutoHyphens/>
      <w:spacing w:before="240" w:after="240"/>
      <w:jc w:val="both"/>
      <w:outlineLvl w:val="3"/>
    </w:pPr>
    <w:rPr>
      <w:szCs w:val="20"/>
    </w:rPr>
  </w:style>
  <w:style w:type="paragraph" w:customStyle="1" w:styleId="ParaLevel5">
    <w:name w:val="ParaLevel5"/>
    <w:basedOn w:val="Normal"/>
    <w:rsid w:val="003D4828"/>
    <w:pPr>
      <w:numPr>
        <w:ilvl w:val="4"/>
        <w:numId w:val="2"/>
      </w:numPr>
      <w:suppressAutoHyphens/>
      <w:spacing w:before="240" w:after="240"/>
      <w:jc w:val="both"/>
      <w:outlineLvl w:val="4"/>
    </w:pPr>
    <w:rPr>
      <w:szCs w:val="20"/>
    </w:rPr>
  </w:style>
  <w:style w:type="paragraph" w:customStyle="1" w:styleId="ParaLevel6">
    <w:name w:val="ParaLevel6"/>
    <w:basedOn w:val="Normal"/>
    <w:rsid w:val="003D4828"/>
    <w:pPr>
      <w:numPr>
        <w:ilvl w:val="5"/>
        <w:numId w:val="2"/>
      </w:numPr>
      <w:suppressAutoHyphens/>
      <w:spacing w:before="240" w:after="240"/>
      <w:jc w:val="both"/>
      <w:outlineLvl w:val="5"/>
    </w:pPr>
    <w:rPr>
      <w:szCs w:val="20"/>
    </w:rPr>
  </w:style>
  <w:style w:type="paragraph" w:customStyle="1" w:styleId="ParaLevel7">
    <w:name w:val="ParaLevel7"/>
    <w:basedOn w:val="Normal"/>
    <w:rsid w:val="003D4828"/>
    <w:pPr>
      <w:numPr>
        <w:ilvl w:val="6"/>
        <w:numId w:val="2"/>
      </w:numPr>
      <w:suppressAutoHyphens/>
      <w:spacing w:before="240" w:after="240"/>
      <w:jc w:val="both"/>
      <w:outlineLvl w:val="6"/>
    </w:pPr>
    <w:rPr>
      <w:szCs w:val="20"/>
    </w:rPr>
  </w:style>
  <w:style w:type="paragraph" w:customStyle="1" w:styleId="ParaLevel8">
    <w:name w:val="ParaLevel8"/>
    <w:basedOn w:val="Normal"/>
    <w:rsid w:val="003D4828"/>
    <w:pPr>
      <w:numPr>
        <w:ilvl w:val="7"/>
        <w:numId w:val="2"/>
      </w:numPr>
      <w:suppressAutoHyphens/>
      <w:spacing w:before="240" w:after="240"/>
      <w:jc w:val="both"/>
      <w:outlineLvl w:val="7"/>
    </w:pPr>
    <w:rPr>
      <w:szCs w:val="20"/>
    </w:rPr>
  </w:style>
  <w:style w:type="paragraph" w:customStyle="1" w:styleId="ParaLevel9">
    <w:name w:val="ParaLevel9"/>
    <w:basedOn w:val="Normal"/>
    <w:rsid w:val="003D4828"/>
    <w:pPr>
      <w:numPr>
        <w:ilvl w:val="8"/>
        <w:numId w:val="2"/>
      </w:numPr>
      <w:suppressAutoHyphens/>
      <w:spacing w:before="240" w:after="240"/>
      <w:jc w:val="both"/>
      <w:outlineLvl w:val="8"/>
    </w:pPr>
    <w:rPr>
      <w:szCs w:val="20"/>
    </w:rPr>
  </w:style>
  <w:style w:type="paragraph" w:styleId="Header">
    <w:name w:val="header"/>
    <w:basedOn w:val="Normal"/>
    <w:link w:val="HeaderChar"/>
    <w:rsid w:val="003D4828"/>
    <w:pPr>
      <w:tabs>
        <w:tab w:val="center" w:pos="4153"/>
        <w:tab w:val="right" w:pos="8306"/>
      </w:tabs>
    </w:pPr>
    <w:rPr>
      <w:rFonts w:ascii="Univers (W1)" w:hAnsi="Univers (W1)"/>
      <w:szCs w:val="20"/>
    </w:rPr>
  </w:style>
  <w:style w:type="character" w:customStyle="1" w:styleId="HeaderChar">
    <w:name w:val="Header Char"/>
    <w:basedOn w:val="DefaultParagraphFont"/>
    <w:link w:val="Header"/>
    <w:rsid w:val="003D4828"/>
    <w:rPr>
      <w:rFonts w:ascii="Univers (W1)" w:eastAsia="Times New Roman" w:hAnsi="Univers (W1)" w:cs="Times New Roman"/>
      <w:sz w:val="24"/>
      <w:szCs w:val="20"/>
    </w:rPr>
  </w:style>
  <w:style w:type="paragraph" w:styleId="Footer">
    <w:name w:val="footer"/>
    <w:basedOn w:val="Normal"/>
    <w:link w:val="FooterChar"/>
    <w:uiPriority w:val="99"/>
    <w:rsid w:val="003D4828"/>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rsid w:val="003D4828"/>
    <w:rPr>
      <w:rFonts w:ascii="Univers (W1)" w:eastAsia="Times New Roman" w:hAnsi="Univers (W1)" w:cs="Times New Roman"/>
      <w:sz w:val="24"/>
      <w:szCs w:val="20"/>
    </w:rPr>
  </w:style>
  <w:style w:type="paragraph" w:styleId="ListParagraph">
    <w:name w:val="List Paragraph"/>
    <w:basedOn w:val="Normal"/>
    <w:link w:val="ListParagraphChar"/>
    <w:uiPriority w:val="34"/>
    <w:qFormat/>
    <w:rsid w:val="00336514"/>
    <w:pPr>
      <w:ind w:left="720"/>
      <w:contextualSpacing/>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rsid w:val="00336514"/>
    <w:rPr>
      <w:rFonts w:eastAsiaTheme="minorEastAsia"/>
      <w:sz w:val="24"/>
      <w:szCs w:val="24"/>
    </w:rPr>
  </w:style>
  <w:style w:type="character" w:styleId="Hyperlink">
    <w:name w:val="Hyperlink"/>
    <w:basedOn w:val="DefaultParagraphFont"/>
    <w:uiPriority w:val="99"/>
    <w:unhideWhenUsed/>
    <w:rsid w:val="00336514"/>
    <w:rPr>
      <w:color w:val="0000FF"/>
      <w:u w:val="single"/>
    </w:rPr>
  </w:style>
  <w:style w:type="paragraph" w:styleId="BalloonText">
    <w:name w:val="Balloon Text"/>
    <w:basedOn w:val="Normal"/>
    <w:link w:val="BalloonTextChar"/>
    <w:uiPriority w:val="99"/>
    <w:semiHidden/>
    <w:unhideWhenUsed/>
    <w:rsid w:val="006D6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8EC"/>
    <w:rPr>
      <w:rFonts w:ascii="Segoe UI" w:eastAsia="Times New Roman" w:hAnsi="Segoe UI" w:cs="Segoe UI"/>
      <w:sz w:val="18"/>
      <w:szCs w:val="18"/>
    </w:rPr>
  </w:style>
  <w:style w:type="paragraph" w:customStyle="1" w:styleId="paragraph">
    <w:name w:val="paragraph"/>
    <w:basedOn w:val="Normal"/>
    <w:rsid w:val="00C162B1"/>
    <w:pPr>
      <w:spacing w:before="100" w:beforeAutospacing="1" w:after="100" w:afterAutospacing="1"/>
    </w:pPr>
    <w:rPr>
      <w:lang w:eastAsia="en-GB"/>
    </w:rPr>
  </w:style>
  <w:style w:type="character" w:customStyle="1" w:styleId="normaltextrun">
    <w:name w:val="normaltextrun"/>
    <w:basedOn w:val="DefaultParagraphFont"/>
    <w:rsid w:val="00C162B1"/>
  </w:style>
  <w:style w:type="character" w:customStyle="1" w:styleId="eop">
    <w:name w:val="eop"/>
    <w:basedOn w:val="DefaultParagraphFont"/>
    <w:rsid w:val="00C1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031371">
      <w:bodyDiv w:val="1"/>
      <w:marLeft w:val="0"/>
      <w:marRight w:val="0"/>
      <w:marTop w:val="0"/>
      <w:marBottom w:val="0"/>
      <w:divBdr>
        <w:top w:val="none" w:sz="0" w:space="0" w:color="auto"/>
        <w:left w:val="none" w:sz="0" w:space="0" w:color="auto"/>
        <w:bottom w:val="none" w:sz="0" w:space="0" w:color="auto"/>
        <w:right w:val="none" w:sz="0" w:space="0" w:color="auto"/>
      </w:divBdr>
    </w:div>
    <w:div w:id="153468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F143B8D2AF24E978F225A7E357CF0" ma:contentTypeVersion="12" ma:contentTypeDescription="Create a new document." ma:contentTypeScope="" ma:versionID="0fb9fe2faed822f629104cc4cf626833">
  <xsd:schema xmlns:xsd="http://www.w3.org/2001/XMLSchema" xmlns:xs="http://www.w3.org/2001/XMLSchema" xmlns:p="http://schemas.microsoft.com/office/2006/metadata/properties" xmlns:ns3="756a533f-64ee-4a42-bd8b-402ea837b85a" xmlns:ns4="4ce6905d-268e-40f0-8b0b-c0d1a78c436a" targetNamespace="http://schemas.microsoft.com/office/2006/metadata/properties" ma:root="true" ma:fieldsID="8178d7d3fed6e5e699609ab0994ac0ed" ns3:_="" ns4:_="">
    <xsd:import namespace="756a533f-64ee-4a42-bd8b-402ea837b85a"/>
    <xsd:import namespace="4ce6905d-268e-40f0-8b0b-c0d1a78c43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a533f-64ee-4a42-bd8b-402ea837b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6905d-268e-40f0-8b0b-c0d1a78c43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A7783-31EC-4045-BBFB-854640CED857}">
  <ds:schemaRefs>
    <ds:schemaRef ds:uri="http://schemas.microsoft.com/sharepoint/v3/contenttype/forms"/>
  </ds:schemaRefs>
</ds:datastoreItem>
</file>

<file path=customXml/itemProps2.xml><?xml version="1.0" encoding="utf-8"?>
<ds:datastoreItem xmlns:ds="http://schemas.openxmlformats.org/officeDocument/2006/customXml" ds:itemID="{EA8F1834-A021-458E-974B-DDAE6159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a533f-64ee-4a42-bd8b-402ea837b85a"/>
    <ds:schemaRef ds:uri="4ce6905d-268e-40f0-8b0b-c0d1a78c4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ADA3B-3263-442B-84FA-000FEBAE6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15032</Words>
  <Characters>85689</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100520</CharactersWithSpaces>
  <SharedDoc>false</SharedDoc>
  <HLinks>
    <vt:vector size="6" baseType="variant">
      <vt:variant>
        <vt:i4>3538953</vt:i4>
      </vt:variant>
      <vt:variant>
        <vt:i4>0</vt:i4>
      </vt:variant>
      <vt:variant>
        <vt:i4>0</vt:i4>
      </vt:variant>
      <vt:variant>
        <vt:i4>5</vt:i4>
      </vt:variant>
      <vt:variant>
        <vt:lpwstr>mailto:Jessica.Turner@Justice.gov.uk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Hedderick, Nina</dc:creator>
  <cp:keywords/>
  <dc:description/>
  <cp:lastModifiedBy>pati-svc</cp:lastModifiedBy>
  <cp:revision>2</cp:revision>
  <dcterms:created xsi:type="dcterms:W3CDTF">2024-06-06T09:12:00Z</dcterms:created>
  <dcterms:modified xsi:type="dcterms:W3CDTF">2024-06-06T09:12:00Z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0x0101004CEF143B8D2AF24E978F225A7E357CF0</vt:lpwstr>
  </property>
</Properties>
</file>