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854AB" w14:textId="77777777" w:rsidR="00743E42" w:rsidRDefault="00743E42" w:rsidP="00743E42">
      <w:pPr>
        <w:jc w:val="center"/>
      </w:pPr>
      <w:bookmarkStart w:id="0" w:name="_GoBack"/>
      <w:bookmarkEnd w:id="0"/>
      <w:r w:rsidRPr="00FE29B4">
        <w:rPr>
          <w:noProof/>
        </w:rPr>
        <w:drawing>
          <wp:inline distT="0" distB="0" distL="0" distR="0" wp14:anchorId="62D014A5" wp14:editId="63B4D7C7">
            <wp:extent cx="966470" cy="957580"/>
            <wp:effectExtent l="0" t="0" r="5080" b="0"/>
            <wp:docPr id="1529105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470" cy="957580"/>
                    </a:xfrm>
                    <a:prstGeom prst="rect">
                      <a:avLst/>
                    </a:prstGeom>
                    <a:noFill/>
                    <a:ln>
                      <a:noFill/>
                    </a:ln>
                  </pic:spPr>
                </pic:pic>
              </a:graphicData>
            </a:graphic>
          </wp:inline>
        </w:drawing>
      </w:r>
    </w:p>
    <w:p w14:paraId="5D14E17C" w14:textId="77777777" w:rsidR="00743E42" w:rsidRDefault="00743E42" w:rsidP="00743E42">
      <w:pPr>
        <w:jc w:val="right"/>
      </w:pPr>
    </w:p>
    <w:p w14:paraId="051B4930" w14:textId="77777777" w:rsidR="00743E42" w:rsidRDefault="00743E42" w:rsidP="00743E42">
      <w:pPr>
        <w:pStyle w:val="CoverText"/>
        <w:jc w:val="left"/>
        <w:rPr>
          <w:bCs/>
          <w:sz w:val="20"/>
          <w:u w:val="none"/>
        </w:rPr>
      </w:pPr>
      <w:bookmarkStart w:id="1" w:name="_Hlk191894280"/>
      <w:r>
        <w:rPr>
          <w:bCs/>
        </w:rPr>
        <w:t>Neutral Citation Number: [2025] EWCA Civ 200</w:t>
      </w:r>
      <w:r>
        <w:rPr>
          <w:bCs/>
        </w:rPr>
        <w:br/>
      </w:r>
    </w:p>
    <w:p w14:paraId="02D36293" w14:textId="77777777" w:rsidR="00743E42" w:rsidRDefault="00743E42" w:rsidP="00743E42">
      <w:pPr>
        <w:pStyle w:val="CoverText"/>
        <w:rPr>
          <w:b/>
          <w:spacing w:val="-3"/>
        </w:rPr>
      </w:pPr>
      <w:r>
        <w:t>Case No: CA-2023-002294</w:t>
      </w:r>
    </w:p>
    <w:p w14:paraId="0279545C" w14:textId="77777777" w:rsidR="00743E42" w:rsidRDefault="00743E42" w:rsidP="00743E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14:paraId="03A5EE52" w14:textId="77777777" w:rsidR="00743E42" w:rsidRDefault="00743E42" w:rsidP="00743E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 THE HIGH COURT OF JUSTICE</w:t>
      </w:r>
    </w:p>
    <w:p w14:paraId="0FB4804D" w14:textId="77777777" w:rsidR="00743E42" w:rsidRDefault="00743E42" w:rsidP="00743E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KING’S BENCH DIVISION</w:t>
      </w:r>
    </w:p>
    <w:p w14:paraId="1AAAC4E2" w14:textId="77777777" w:rsidR="00743E42" w:rsidRDefault="00743E42" w:rsidP="00743E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ADMINISTRATIVE COURT </w:t>
      </w:r>
    </w:p>
    <w:p w14:paraId="244FD3A1" w14:textId="77777777" w:rsidR="00743E42" w:rsidRDefault="00743E42" w:rsidP="00743E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Upper Tribunal Judge Church (sitting as a High Court Judge)</w:t>
      </w:r>
    </w:p>
    <w:p w14:paraId="25768831" w14:textId="77777777" w:rsidR="00743E42" w:rsidRDefault="00743E42" w:rsidP="00743E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[2023] EWHC 1722 (Admin)</w:t>
      </w:r>
    </w:p>
    <w:p w14:paraId="4F538093" w14:textId="77777777" w:rsidR="00743E42" w:rsidRDefault="00743E42" w:rsidP="00743E42">
      <w:pPr>
        <w:pStyle w:val="CoverText"/>
      </w:pPr>
      <w:r>
        <w:t>Royal Courts of Justice</w:t>
      </w:r>
    </w:p>
    <w:p w14:paraId="51787582" w14:textId="77777777" w:rsidR="00743E42" w:rsidRDefault="00743E42" w:rsidP="00743E42">
      <w:pPr>
        <w:pStyle w:val="CoverText"/>
      </w:pPr>
      <w:r>
        <w:t>Strand, London, WC2A 2LL</w:t>
      </w:r>
    </w:p>
    <w:p w14:paraId="1540E62E" w14:textId="77777777" w:rsidR="00743E42" w:rsidRDefault="00743E42" w:rsidP="00743E42">
      <w:pPr>
        <w:suppressAutoHyphens/>
        <w:jc w:val="right"/>
        <w:rPr>
          <w:spacing w:val="-3"/>
          <w:u w:val="single"/>
        </w:rPr>
      </w:pPr>
    </w:p>
    <w:p w14:paraId="75CB200A" w14:textId="77777777" w:rsidR="00743E42" w:rsidRDefault="00743E42" w:rsidP="00743E42">
      <w:pPr>
        <w:pStyle w:val="CoverText"/>
        <w:rPr>
          <w:b/>
        </w:rPr>
      </w:pPr>
      <w:r>
        <w:t>Date: 04/03/2025</w:t>
      </w:r>
    </w:p>
    <w:p w14:paraId="0C991BB8" w14:textId="77777777" w:rsidR="00743E42" w:rsidRDefault="00743E42" w:rsidP="00743E42">
      <w:pPr>
        <w:suppressAutoHyphens/>
        <w:jc w:val="center"/>
        <w:rPr>
          <w:b/>
          <w:spacing w:val="-3"/>
        </w:rPr>
      </w:pPr>
      <w:r>
        <w:rPr>
          <w:b/>
          <w:spacing w:val="-3"/>
        </w:rPr>
        <w:t>Before :</w:t>
      </w:r>
    </w:p>
    <w:p w14:paraId="68C90D86" w14:textId="77777777" w:rsidR="00743E42" w:rsidRDefault="00743E42" w:rsidP="00743E42">
      <w:pPr>
        <w:suppressAutoHyphens/>
        <w:jc w:val="center"/>
        <w:rPr>
          <w:spacing w:val="-3"/>
        </w:rPr>
      </w:pPr>
    </w:p>
    <w:p w14:paraId="0418C9EA" w14:textId="77777777" w:rsidR="00743E42" w:rsidRDefault="00743E42" w:rsidP="00743E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14:paraId="4606CFA1" w14:textId="77777777" w:rsidR="00743E42" w:rsidRDefault="00743E42" w:rsidP="00743E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(Vice-President of the Court of Appeal (Civil Division))</w:t>
      </w:r>
    </w:p>
    <w:p w14:paraId="0E58211E" w14:textId="77777777" w:rsidR="00743E42" w:rsidRDefault="00743E42" w:rsidP="00743E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KING</w:t>
      </w:r>
      <w:r>
        <w:br/>
      </w:r>
      <w:r>
        <w:rPr>
          <w:b w:val="0"/>
          <w:bCs/>
          <w:u w:val="none"/>
        </w:rPr>
        <w:t>and</w:t>
      </w:r>
    </w:p>
    <w:p w14:paraId="65FB3644" w14:textId="77777777" w:rsidR="00743E42" w:rsidRDefault="00743E42" w:rsidP="00743E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WARBY</w:t>
      </w:r>
    </w:p>
    <w:bookmarkEnd w:id="1"/>
    <w:p w14:paraId="715DBBA5" w14:textId="77777777" w:rsidR="00743E42" w:rsidRDefault="00743E42" w:rsidP="00743E42">
      <w:pPr>
        <w:suppressAutoHyphens/>
        <w:jc w:val="center"/>
        <w:rPr>
          <w:spacing w:val="-3"/>
        </w:rPr>
      </w:pPr>
      <w:r>
        <w:rPr>
          <w:spacing w:val="-3"/>
        </w:rPr>
        <w:t>- - - - - - - - - - - - - - - - - - - - -</w:t>
      </w:r>
    </w:p>
    <w:p w14:paraId="33F4AD31" w14:textId="77777777" w:rsidR="00743E42" w:rsidRDefault="00743E42" w:rsidP="00743E42">
      <w:pPr>
        <w:suppressAutoHyphens/>
        <w:jc w:val="center"/>
        <w:rPr>
          <w:b/>
          <w:spacing w:val="-3"/>
        </w:rPr>
      </w:pPr>
      <w:r>
        <w:rPr>
          <w:b/>
          <w:spacing w:val="-3"/>
        </w:rPr>
        <w:t>Between :</w:t>
      </w:r>
    </w:p>
    <w:p w14:paraId="4CA4FB34" w14:textId="77777777" w:rsidR="00743E42" w:rsidRDefault="00743E42" w:rsidP="00743E42">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743E42" w14:paraId="116BD200" w14:textId="77777777" w:rsidTr="00B01962">
        <w:tc>
          <w:tcPr>
            <w:tcW w:w="1314" w:type="dxa"/>
          </w:tcPr>
          <w:p w14:paraId="7045E1E3" w14:textId="77777777" w:rsidR="00743E42" w:rsidRDefault="00743E42" w:rsidP="00B01962">
            <w:pPr>
              <w:suppressAutoHyphens/>
              <w:rPr>
                <w:b/>
                <w:spacing w:val="-3"/>
              </w:rPr>
            </w:pPr>
          </w:p>
        </w:tc>
        <w:tc>
          <w:tcPr>
            <w:tcW w:w="6210" w:type="dxa"/>
          </w:tcPr>
          <w:p w14:paraId="43F7C62A" w14:textId="77777777" w:rsidR="00743E42" w:rsidRDefault="00743E42" w:rsidP="00B01962">
            <w:pPr>
              <w:suppressAutoHyphens/>
              <w:jc w:val="center"/>
              <w:rPr>
                <w:b/>
                <w:spacing w:val="-3"/>
              </w:rPr>
            </w:pPr>
            <w:r>
              <w:rPr>
                <w:b/>
                <w:spacing w:val="-3"/>
              </w:rPr>
              <w:t>THE KING (on the application of TZA)</w:t>
            </w:r>
          </w:p>
        </w:tc>
        <w:tc>
          <w:tcPr>
            <w:tcW w:w="1440" w:type="dxa"/>
          </w:tcPr>
          <w:p w14:paraId="137A071D" w14:textId="77777777" w:rsidR="00743E42" w:rsidRDefault="00743E42" w:rsidP="00B0196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w:t>
            </w:r>
          </w:p>
          <w:p w14:paraId="4B6F8C72" w14:textId="77777777" w:rsidR="00743E42" w:rsidRDefault="00743E42" w:rsidP="00B0196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743E42" w14:paraId="2D4AFCD9" w14:textId="77777777" w:rsidTr="00B01962">
        <w:tc>
          <w:tcPr>
            <w:tcW w:w="1314" w:type="dxa"/>
          </w:tcPr>
          <w:p w14:paraId="706402A5" w14:textId="77777777" w:rsidR="00743E42" w:rsidRDefault="00743E42" w:rsidP="00B01962">
            <w:pPr>
              <w:suppressAutoHyphens/>
              <w:rPr>
                <w:b/>
                <w:spacing w:val="-3"/>
              </w:rPr>
            </w:pPr>
          </w:p>
        </w:tc>
        <w:tc>
          <w:tcPr>
            <w:tcW w:w="6210" w:type="dxa"/>
          </w:tcPr>
          <w:p w14:paraId="47C65A12" w14:textId="77777777" w:rsidR="00743E42" w:rsidRDefault="00743E42" w:rsidP="00B01962">
            <w:pPr>
              <w:tabs>
                <w:tab w:val="center" w:pos="3312"/>
              </w:tabs>
              <w:suppressAutoHyphens/>
              <w:jc w:val="center"/>
              <w:rPr>
                <w:b/>
                <w:spacing w:val="-3"/>
              </w:rPr>
            </w:pPr>
            <w:r>
              <w:rPr>
                <w:b/>
                <w:spacing w:val="-3"/>
              </w:rPr>
              <w:t>- and -</w:t>
            </w:r>
          </w:p>
        </w:tc>
        <w:tc>
          <w:tcPr>
            <w:tcW w:w="1440" w:type="dxa"/>
          </w:tcPr>
          <w:p w14:paraId="1F7A2E32" w14:textId="77777777" w:rsidR="00743E42" w:rsidRDefault="00743E42" w:rsidP="00B01962">
            <w:pPr>
              <w:suppressAutoHyphens/>
              <w:jc w:val="right"/>
              <w:rPr>
                <w:b/>
                <w:spacing w:val="-3"/>
              </w:rPr>
            </w:pPr>
          </w:p>
        </w:tc>
      </w:tr>
      <w:tr w:rsidR="00743E42" w14:paraId="0C8312B8" w14:textId="77777777" w:rsidTr="00B01962">
        <w:tc>
          <w:tcPr>
            <w:tcW w:w="1314" w:type="dxa"/>
          </w:tcPr>
          <w:p w14:paraId="30D2CBA7" w14:textId="77777777" w:rsidR="00743E42" w:rsidRDefault="00743E42" w:rsidP="00B01962">
            <w:pPr>
              <w:suppressAutoHyphens/>
              <w:rPr>
                <w:b/>
                <w:spacing w:val="-3"/>
              </w:rPr>
            </w:pPr>
          </w:p>
        </w:tc>
        <w:tc>
          <w:tcPr>
            <w:tcW w:w="6210" w:type="dxa"/>
          </w:tcPr>
          <w:p w14:paraId="21DB8FB3" w14:textId="77777777" w:rsidR="00743E42" w:rsidRDefault="00743E42" w:rsidP="00B01962">
            <w:pPr>
              <w:tabs>
                <w:tab w:val="center" w:pos="3312"/>
              </w:tabs>
              <w:suppressAutoHyphens/>
              <w:jc w:val="center"/>
              <w:rPr>
                <w:b/>
                <w:spacing w:val="-3"/>
              </w:rPr>
            </w:pPr>
          </w:p>
          <w:p w14:paraId="7F248B2F" w14:textId="77777777" w:rsidR="00743E42" w:rsidRDefault="00743E42" w:rsidP="00B01962">
            <w:pPr>
              <w:tabs>
                <w:tab w:val="center" w:pos="3312"/>
              </w:tabs>
              <w:suppressAutoHyphens/>
              <w:jc w:val="center"/>
              <w:rPr>
                <w:b/>
                <w:spacing w:val="-3"/>
              </w:rPr>
            </w:pPr>
            <w:r>
              <w:rPr>
                <w:b/>
                <w:spacing w:val="-3"/>
              </w:rPr>
              <w:t>A SECONDARY SCHOOL</w:t>
            </w:r>
          </w:p>
        </w:tc>
        <w:tc>
          <w:tcPr>
            <w:tcW w:w="1440" w:type="dxa"/>
          </w:tcPr>
          <w:p w14:paraId="37FC7D04" w14:textId="77777777" w:rsidR="00743E42" w:rsidRDefault="00743E42" w:rsidP="00B0196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6C54CE81" w14:textId="77777777" w:rsidR="00743E42" w:rsidRDefault="00743E42" w:rsidP="00B0196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Defendant/Respondent</w:t>
            </w:r>
          </w:p>
        </w:tc>
      </w:tr>
    </w:tbl>
    <w:p w14:paraId="1B71C708" w14:textId="77777777" w:rsidR="00743E42" w:rsidRDefault="00743E42" w:rsidP="00743E42">
      <w:pPr>
        <w:suppressAutoHyphens/>
        <w:jc w:val="center"/>
        <w:rPr>
          <w:spacing w:val="-3"/>
        </w:rPr>
      </w:pPr>
      <w:r>
        <w:rPr>
          <w:spacing w:val="-3"/>
        </w:rPr>
        <w:t>- - - - - - - - - - - - - - - - - - - - -</w:t>
      </w:r>
    </w:p>
    <w:p w14:paraId="76ED3B7F" w14:textId="77777777" w:rsidR="00743E42" w:rsidRDefault="00743E42" w:rsidP="00743E42">
      <w:pPr>
        <w:suppressAutoHyphens/>
        <w:jc w:val="center"/>
        <w:rPr>
          <w:spacing w:val="-3"/>
        </w:rPr>
      </w:pPr>
      <w:r>
        <w:rPr>
          <w:spacing w:val="-3"/>
        </w:rPr>
        <w:t>- - - - - - - - - - - - - - - - - - - - -</w:t>
      </w:r>
    </w:p>
    <w:p w14:paraId="06105CD1" w14:textId="77777777" w:rsidR="00743E42" w:rsidRDefault="00743E42" w:rsidP="00743E42">
      <w:pPr>
        <w:suppressAutoHyphens/>
        <w:jc w:val="center"/>
        <w:rPr>
          <w:spacing w:val="-3"/>
        </w:rPr>
      </w:pPr>
    </w:p>
    <w:p w14:paraId="3CC58422" w14:textId="77777777" w:rsidR="00743E42" w:rsidRDefault="00743E42" w:rsidP="00743E42">
      <w:pPr>
        <w:suppressAutoHyphens/>
        <w:jc w:val="center"/>
        <w:rPr>
          <w:bCs/>
          <w:spacing w:val="-3"/>
        </w:rPr>
      </w:pPr>
      <w:r>
        <w:rPr>
          <w:b/>
          <w:bCs/>
        </w:rPr>
        <w:t>Stephanie Harrison KC</w:t>
      </w:r>
      <w:r>
        <w:t xml:space="preserve"> and </w:t>
      </w:r>
      <w:r w:rsidRPr="00837B8F">
        <w:rPr>
          <w:b/>
          <w:bCs/>
        </w:rPr>
        <w:t>Ollie Persey</w:t>
      </w:r>
      <w:r>
        <w:rPr>
          <w:b/>
          <w:bCs/>
        </w:rPr>
        <w:t xml:space="preserve"> </w:t>
      </w:r>
      <w:r>
        <w:rPr>
          <w:bCs/>
          <w:spacing w:val="-3"/>
        </w:rPr>
        <w:t xml:space="preserve">(instructed by </w:t>
      </w:r>
      <w:r>
        <w:rPr>
          <w:b/>
          <w:spacing w:val="-3"/>
        </w:rPr>
        <w:t>Coram Children’s Legal Centre</w:t>
      </w:r>
      <w:r>
        <w:rPr>
          <w:bCs/>
          <w:spacing w:val="-3"/>
        </w:rPr>
        <w:t xml:space="preserve">) for the </w:t>
      </w:r>
      <w:r>
        <w:rPr>
          <w:b/>
          <w:spacing w:val="-3"/>
        </w:rPr>
        <w:t>Claimant</w:t>
      </w:r>
    </w:p>
    <w:p w14:paraId="006AEDC3" w14:textId="77777777" w:rsidR="00743E42" w:rsidRPr="00F86F24" w:rsidRDefault="00743E42" w:rsidP="00743E42">
      <w:pPr>
        <w:suppressAutoHyphens/>
        <w:jc w:val="center"/>
        <w:rPr>
          <w:b/>
          <w:bCs/>
        </w:rPr>
      </w:pPr>
      <w:r w:rsidRPr="00837B8F">
        <w:rPr>
          <w:b/>
          <w:bCs/>
        </w:rPr>
        <w:t>Tom Cross</w:t>
      </w:r>
      <w:r>
        <w:t xml:space="preserve"> </w:t>
      </w:r>
      <w:r w:rsidRPr="00EC5303">
        <w:t>and</w:t>
      </w:r>
      <w:r w:rsidRPr="008F756B">
        <w:rPr>
          <w:b/>
          <w:bCs/>
        </w:rPr>
        <w:t xml:space="preserve"> </w:t>
      </w:r>
      <w:r>
        <w:rPr>
          <w:b/>
          <w:bCs/>
        </w:rPr>
        <w:t>Nadia O’Mara</w:t>
      </w:r>
      <w:r w:rsidRPr="008F756B">
        <w:rPr>
          <w:b/>
          <w:bCs/>
          <w:spacing w:val="-3"/>
        </w:rPr>
        <w:t xml:space="preserve"> </w:t>
      </w:r>
      <w:r w:rsidRPr="00EC5303">
        <w:rPr>
          <w:spacing w:val="-3"/>
        </w:rPr>
        <w:t>(instructed</w:t>
      </w:r>
      <w:r>
        <w:rPr>
          <w:bCs/>
          <w:spacing w:val="-3"/>
        </w:rPr>
        <w:t xml:space="preserve"> by</w:t>
      </w:r>
      <w:r>
        <w:rPr>
          <w:b/>
          <w:spacing w:val="-3"/>
        </w:rPr>
        <w:t xml:space="preserve"> </w:t>
      </w:r>
      <w:r>
        <w:rPr>
          <w:b/>
          <w:bCs/>
        </w:rPr>
        <w:t>Russell Cooke LLP</w:t>
      </w:r>
      <w:r>
        <w:rPr>
          <w:bCs/>
          <w:spacing w:val="-3"/>
        </w:rPr>
        <w:t xml:space="preserve">) for the </w:t>
      </w:r>
      <w:r>
        <w:rPr>
          <w:b/>
          <w:spacing w:val="-3"/>
        </w:rPr>
        <w:t>Respondent</w:t>
      </w:r>
    </w:p>
    <w:p w14:paraId="21300A6A" w14:textId="77777777" w:rsidR="00743E42" w:rsidRDefault="00743E42" w:rsidP="00743E42">
      <w:pPr>
        <w:suppressAutoHyphens/>
        <w:jc w:val="center"/>
        <w:rPr>
          <w:b/>
          <w:spacing w:val="-3"/>
        </w:rPr>
      </w:pPr>
    </w:p>
    <w:p w14:paraId="4B0C3D4E" w14:textId="77777777" w:rsidR="00743E42" w:rsidRDefault="00743E42" w:rsidP="00743E42">
      <w:pPr>
        <w:suppressAutoHyphens/>
        <w:jc w:val="center"/>
        <w:rPr>
          <w:spacing w:val="-3"/>
        </w:rPr>
      </w:pPr>
      <w:r>
        <w:rPr>
          <w:spacing w:val="-3"/>
        </w:rPr>
        <w:t>Hearing date: 9 October 2024</w:t>
      </w:r>
    </w:p>
    <w:p w14:paraId="2F98B28A" w14:textId="77777777" w:rsidR="00743E42" w:rsidRDefault="00743E42" w:rsidP="00743E42">
      <w:pPr>
        <w:suppressAutoHyphens/>
        <w:jc w:val="center"/>
        <w:rPr>
          <w:spacing w:val="-3"/>
        </w:rPr>
      </w:pPr>
      <w:r>
        <w:rPr>
          <w:spacing w:val="-3"/>
        </w:rPr>
        <w:t>- - - - - - - - - - - - - - - - - - - - -</w:t>
      </w:r>
    </w:p>
    <w:p w14:paraId="10062829" w14:textId="77777777" w:rsidR="00743E42" w:rsidRDefault="00743E42" w:rsidP="00743E42">
      <w:pPr>
        <w:pStyle w:val="CoverDesc"/>
        <w:ind w:right="-230" w:hanging="145"/>
      </w:pPr>
      <w:r>
        <w:t>Approved Judgment</w:t>
      </w:r>
    </w:p>
    <w:p w14:paraId="573F6012" w14:textId="77777777" w:rsidR="00743E42" w:rsidRDefault="00743E42" w:rsidP="00743E42">
      <w:pPr>
        <w:jc w:val="center"/>
      </w:pPr>
    </w:p>
    <w:p w14:paraId="35556EB4" w14:textId="77777777" w:rsidR="00743E42" w:rsidRDefault="00743E42" w:rsidP="00743E42">
      <w:pPr>
        <w:jc w:val="center"/>
      </w:pPr>
      <w:r>
        <w:t>This judgment was handed down remotely at 10.30am on 4 March 2025 by circulation to the parties or their representatives by e-mail and by release to the National Archives.</w:t>
      </w:r>
    </w:p>
    <w:p w14:paraId="2984B2E7" w14:textId="77777777" w:rsidR="00743E42" w:rsidRDefault="00743E42" w:rsidP="00743E42">
      <w:pPr>
        <w:jc w:val="center"/>
      </w:pPr>
      <w:r>
        <w:t>.............................</w:t>
      </w:r>
    </w:p>
    <w:p w14:paraId="5254C708" w14:textId="4B8DFF3D" w:rsidR="00972118" w:rsidRPr="00972118" w:rsidRDefault="00972118" w:rsidP="00972118">
      <w:pPr>
        <w:jc w:val="center"/>
      </w:pPr>
    </w:p>
    <w:p w14:paraId="7C84BCC7" w14:textId="77777777" w:rsidR="00C439A3" w:rsidRDefault="00C439A3">
      <w:pPr>
        <w:pStyle w:val="CoverDesc"/>
        <w:rPr>
          <w:sz w:val="24"/>
        </w:rPr>
      </w:pPr>
    </w:p>
    <w:p w14:paraId="5845E944" w14:textId="77777777" w:rsidR="00F50AFF" w:rsidRDefault="00F50AFF">
      <w:pPr>
        <w:sectPr w:rsidR="00F50AFF">
          <w:footerReference w:type="default" r:id="rId9"/>
          <w:pgSz w:w="11909" w:h="16834" w:code="9"/>
          <w:pgMar w:top="720" w:right="1440" w:bottom="720" w:left="1440" w:header="720" w:footer="720" w:gutter="0"/>
          <w:pgNumType w:start="1"/>
          <w:cols w:space="720"/>
        </w:sectPr>
      </w:pPr>
      <w:bookmarkStart w:id="2" w:name="bkCACaveat3"/>
      <w:bookmarkEnd w:id="2"/>
    </w:p>
    <w:p w14:paraId="64CFA79C" w14:textId="01EC8FEE" w:rsidR="00E27D82" w:rsidRDefault="00972118">
      <w:pPr>
        <w:spacing w:after="240"/>
        <w:rPr>
          <w:b/>
        </w:rPr>
      </w:pPr>
      <w:r>
        <w:rPr>
          <w:b/>
        </w:rPr>
        <w:lastRenderedPageBreak/>
        <w:t>Lord Justice Underhill</w:t>
      </w:r>
      <w:r w:rsidR="00C439A3">
        <w:rPr>
          <w:b/>
        </w:rPr>
        <w:t xml:space="preserve"> :</w:t>
      </w:r>
    </w:p>
    <w:p w14:paraId="5093A133" w14:textId="3E1E729D" w:rsidR="00C439A3" w:rsidRPr="004815F5" w:rsidRDefault="00D314FE">
      <w:pPr>
        <w:spacing w:after="240"/>
        <w:rPr>
          <w:b/>
        </w:rPr>
      </w:pPr>
      <w:r w:rsidRPr="00B97302">
        <w:rPr>
          <w:b/>
          <w:u w:val="single"/>
        </w:rPr>
        <w:t>INTRODUCTION</w:t>
      </w:r>
      <w:r w:rsidR="00C439A3" w:rsidRPr="004815F5">
        <w:rPr>
          <w:b/>
        </w:rPr>
        <w:t xml:space="preserve"> </w:t>
      </w:r>
    </w:p>
    <w:p w14:paraId="0D12C473" w14:textId="49749F8D" w:rsidR="000B3AC1" w:rsidRDefault="000B3AC1">
      <w:pPr>
        <w:spacing w:after="240"/>
        <w:sectPr w:rsidR="000B3AC1">
          <w:headerReference w:type="default" r:id="rId10"/>
          <w:footerReference w:type="default" r:id="rId11"/>
          <w:pgSz w:w="11906" w:h="16838" w:code="9"/>
          <w:pgMar w:top="1440" w:right="1440" w:bottom="1440" w:left="1440" w:header="709" w:footer="709" w:gutter="0"/>
          <w:cols w:space="708"/>
          <w:docGrid w:linePitch="360"/>
        </w:sectPr>
      </w:pPr>
    </w:p>
    <w:p w14:paraId="72383B88" w14:textId="0443B1CB" w:rsidR="00822F12" w:rsidRDefault="005E16CC" w:rsidP="00972118">
      <w:pPr>
        <w:pStyle w:val="ParaLevel1"/>
      </w:pPr>
      <w:r>
        <w:t xml:space="preserve">This is an appeal against </w:t>
      </w:r>
      <w:r w:rsidR="00363F7C">
        <w:t>a decision of Upper Tribunal Judge</w:t>
      </w:r>
      <w:r w:rsidR="003C145B">
        <w:t xml:space="preserve"> Church</w:t>
      </w:r>
      <w:r w:rsidR="00363F7C">
        <w:t xml:space="preserve">, sitting as a High Court Judge, </w:t>
      </w:r>
      <w:r w:rsidR="00E2498E">
        <w:t xml:space="preserve">dismissing a claim for judicial review </w:t>
      </w:r>
      <w:r w:rsidR="00481B06">
        <w:t xml:space="preserve">arising out of the </w:t>
      </w:r>
      <w:r w:rsidR="0073205B">
        <w:t xml:space="preserve">permanent exclusion </w:t>
      </w:r>
      <w:r w:rsidR="00481B06">
        <w:t xml:space="preserve">of a 15-year old boy </w:t>
      </w:r>
      <w:r w:rsidR="00D663EC">
        <w:t>from his secondary school</w:t>
      </w:r>
      <w:r w:rsidR="0073205B">
        <w:t xml:space="preserve">.  </w:t>
      </w:r>
      <w:r w:rsidR="009C7CA2">
        <w:t xml:space="preserve">The </w:t>
      </w:r>
      <w:r w:rsidR="008B1CA7">
        <w:t xml:space="preserve">child </w:t>
      </w:r>
      <w:r w:rsidR="00BB7532">
        <w:t>wa</w:t>
      </w:r>
      <w:r w:rsidR="008B1CA7">
        <w:t>s of black Caribbean heritage and ha</w:t>
      </w:r>
      <w:r w:rsidR="00BB7532">
        <w:t>d</w:t>
      </w:r>
      <w:r w:rsidR="008B1CA7">
        <w:t xml:space="preserve"> special educational needs</w:t>
      </w:r>
      <w:r w:rsidR="008F6D41">
        <w:t xml:space="preserve"> (“SEN”)</w:t>
      </w:r>
      <w:r w:rsidR="008B1CA7">
        <w:t xml:space="preserve">.  </w:t>
      </w:r>
      <w:r w:rsidR="008967D7">
        <w:t xml:space="preserve">The </w:t>
      </w:r>
      <w:r w:rsidR="009C7CA2">
        <w:t xml:space="preserve">claim is brought </w:t>
      </w:r>
      <w:r w:rsidR="008440B5">
        <w:t xml:space="preserve">by </w:t>
      </w:r>
      <w:r w:rsidR="008967D7">
        <w:t>his</w:t>
      </w:r>
      <w:r w:rsidR="008440B5">
        <w:t xml:space="preserve"> mother.  </w:t>
      </w:r>
      <w:r w:rsidR="00F164BA">
        <w:t>An anonymity order was made in the High Court</w:t>
      </w:r>
      <w:r w:rsidR="002051E9">
        <w:t xml:space="preserve"> in order to protect the identity of the child, and </w:t>
      </w:r>
      <w:r w:rsidR="004478C0">
        <w:t xml:space="preserve">when Newey LJ gave permission to appeal he </w:t>
      </w:r>
      <w:r w:rsidR="006F3EBA">
        <w:t>made an equivalent order as regards the proceedings in this Court</w:t>
      </w:r>
      <w:r w:rsidR="00D663EC">
        <w:t xml:space="preserve">.  </w:t>
      </w:r>
      <w:r w:rsidR="00AE507C">
        <w:t xml:space="preserve">Accordingly, </w:t>
      </w:r>
      <w:r w:rsidR="00DB64F5">
        <w:t xml:space="preserve">the mother </w:t>
      </w:r>
      <w:r w:rsidR="00A81761">
        <w:t>has been anonymised</w:t>
      </w:r>
      <w:r w:rsidR="0091633C">
        <w:t xml:space="preserve"> </w:t>
      </w:r>
      <w:r w:rsidR="0085418B">
        <w:t xml:space="preserve">as “TZA” </w:t>
      </w:r>
      <w:r w:rsidR="005179DA">
        <w:t xml:space="preserve">(though in this judgment I will </w:t>
      </w:r>
      <w:r w:rsidR="001654C4">
        <w:t>call her</w:t>
      </w:r>
      <w:r w:rsidR="005179DA">
        <w:t xml:space="preserve"> “the Claimant”), </w:t>
      </w:r>
      <w:r w:rsidR="00050C84">
        <w:t>the son as “TZB”</w:t>
      </w:r>
      <w:r w:rsidR="00F235C1">
        <w:t xml:space="preserve"> </w:t>
      </w:r>
      <w:r w:rsidR="005179DA">
        <w:t>and</w:t>
      </w:r>
      <w:r w:rsidR="009C281A">
        <w:t xml:space="preserve"> the Defendant as “the School”</w:t>
      </w:r>
      <w:r w:rsidR="00447C45">
        <w:t>.</w:t>
      </w:r>
      <w:r w:rsidR="00AA6210">
        <w:t xml:space="preserve">  The Claimant has been represented before us by Ms </w:t>
      </w:r>
      <w:r w:rsidR="00AA6210" w:rsidRPr="004C5DC8">
        <w:t xml:space="preserve">Stephanie Harrison KC and </w:t>
      </w:r>
      <w:r w:rsidR="00AA6210">
        <w:t xml:space="preserve">Mr </w:t>
      </w:r>
      <w:r w:rsidR="00AA6210" w:rsidRPr="004C5DC8">
        <w:t>Ollie Persey</w:t>
      </w:r>
      <w:r w:rsidR="00AA6210" w:rsidRPr="004C5DC8">
        <w:rPr>
          <w:b/>
        </w:rPr>
        <w:t xml:space="preserve"> </w:t>
      </w:r>
      <w:r w:rsidR="00AA6210">
        <w:t>and the Defendant by Mr Tom Cross</w:t>
      </w:r>
      <w:r w:rsidR="00543E3F">
        <w:t xml:space="preserve"> and Ms Nadia O’Mara</w:t>
      </w:r>
      <w:r w:rsidR="00AA6210">
        <w:t xml:space="preserve">.  All </w:t>
      </w:r>
      <w:r w:rsidR="00543E3F">
        <w:t xml:space="preserve">four </w:t>
      </w:r>
      <w:r w:rsidR="00AA6210">
        <w:t>counsel also appeared before the Judge.</w:t>
      </w:r>
    </w:p>
    <w:p w14:paraId="49EAD8DA" w14:textId="5B312271" w:rsidR="00CB5EF9" w:rsidRDefault="004D3292" w:rsidP="00972118">
      <w:pPr>
        <w:pStyle w:val="ParaLevel1"/>
      </w:pPr>
      <w:r>
        <w:t xml:space="preserve">The </w:t>
      </w:r>
      <w:r w:rsidR="009A088C">
        <w:t xml:space="preserve">legislative </w:t>
      </w:r>
      <w:r w:rsidR="003C0556">
        <w:t xml:space="preserve">provisions </w:t>
      </w:r>
      <w:r w:rsidR="009A088C">
        <w:t xml:space="preserve">governing school exclusions </w:t>
      </w:r>
      <w:r w:rsidR="006B24EF">
        <w:t xml:space="preserve">are to be found in </w:t>
      </w:r>
      <w:r w:rsidR="00BA075A">
        <w:t>s</w:t>
      </w:r>
      <w:r w:rsidR="003C0556" w:rsidRPr="00A56A27">
        <w:rPr>
          <w:rFonts w:asciiTheme="majorBidi" w:hAnsiTheme="majorBidi" w:cstheme="majorBidi"/>
          <w:color w:val="000000"/>
          <w:szCs w:val="24"/>
          <w:lang w:eastAsia="en-GB"/>
        </w:rPr>
        <w:t xml:space="preserve">ection 51A of the Education Act 2002 and </w:t>
      </w:r>
      <w:r w:rsidR="00BA075A">
        <w:rPr>
          <w:rFonts w:asciiTheme="majorBidi" w:hAnsiTheme="majorBidi" w:cstheme="majorBidi"/>
          <w:color w:val="000000"/>
          <w:szCs w:val="24"/>
          <w:lang w:eastAsia="en-GB"/>
        </w:rPr>
        <w:t xml:space="preserve">in </w:t>
      </w:r>
      <w:r w:rsidR="003C0556" w:rsidRPr="00A56A27">
        <w:rPr>
          <w:rFonts w:asciiTheme="majorBidi" w:hAnsiTheme="majorBidi" w:cstheme="majorBidi"/>
          <w:szCs w:val="24"/>
        </w:rPr>
        <w:t xml:space="preserve">the </w:t>
      </w:r>
      <w:r w:rsidR="003C0556" w:rsidRPr="00A56A27">
        <w:rPr>
          <w:rFonts w:asciiTheme="majorBidi" w:hAnsiTheme="majorBidi" w:cstheme="majorBidi"/>
          <w:color w:val="000000"/>
          <w:szCs w:val="24"/>
          <w:lang w:eastAsia="en-GB"/>
        </w:rPr>
        <w:t>School Discipline (Pupil Exclusions) (England) Regulations 2012, which are made under that section</w:t>
      </w:r>
      <w:r w:rsidR="003D699D">
        <w:rPr>
          <w:rFonts w:asciiTheme="majorBidi" w:hAnsiTheme="majorBidi" w:cstheme="majorBidi"/>
          <w:color w:val="000000"/>
          <w:szCs w:val="24"/>
          <w:lang w:eastAsia="en-GB"/>
        </w:rPr>
        <w:t>: references below to particular regulations are to the 2012 Regulations</w:t>
      </w:r>
      <w:r w:rsidR="003C0556" w:rsidRPr="00A56A27">
        <w:rPr>
          <w:rFonts w:asciiTheme="majorBidi" w:hAnsiTheme="majorBidi" w:cstheme="majorBidi"/>
          <w:color w:val="000000"/>
          <w:szCs w:val="24"/>
          <w:lang w:eastAsia="en-GB"/>
        </w:rPr>
        <w:t xml:space="preserve">.  </w:t>
      </w:r>
      <w:r w:rsidR="003C3286" w:rsidRPr="00A56A27">
        <w:rPr>
          <w:rFonts w:asciiTheme="majorBidi" w:hAnsiTheme="majorBidi" w:cstheme="majorBidi"/>
          <w:color w:val="000000"/>
          <w:szCs w:val="24"/>
          <w:lang w:eastAsia="en-GB"/>
        </w:rPr>
        <w:t xml:space="preserve">The process is also the subject of </w:t>
      </w:r>
      <w:r w:rsidR="00CB5EF9" w:rsidRPr="00A56A27">
        <w:rPr>
          <w:rFonts w:asciiTheme="majorBidi" w:hAnsiTheme="majorBidi" w:cstheme="majorBidi"/>
          <w:color w:val="000000"/>
          <w:szCs w:val="24"/>
          <w:lang w:eastAsia="en-GB"/>
        </w:rPr>
        <w:t xml:space="preserve">statutory guidance issued by the Secretary of </w:t>
      </w:r>
      <w:r w:rsidR="00CB5EF9" w:rsidRPr="00D0076B">
        <w:rPr>
          <w:lang w:eastAsia="en-GB"/>
        </w:rPr>
        <w:t>State for Education</w:t>
      </w:r>
      <w:r w:rsidR="008A0A62">
        <w:rPr>
          <w:lang w:eastAsia="en-GB"/>
        </w:rPr>
        <w:t xml:space="preserve">, to which the relevant decision-makers were </w:t>
      </w:r>
      <w:r w:rsidR="0016232A">
        <w:rPr>
          <w:lang w:eastAsia="en-GB"/>
        </w:rPr>
        <w:t>required by r</w:t>
      </w:r>
      <w:r w:rsidR="008A0A62" w:rsidRPr="00A56A27">
        <w:rPr>
          <w:szCs w:val="24"/>
        </w:rPr>
        <w:t xml:space="preserve">egulation 27 </w:t>
      </w:r>
      <w:r w:rsidR="008A0A62" w:rsidRPr="00D0076B">
        <w:rPr>
          <w:lang w:eastAsia="en-GB"/>
        </w:rPr>
        <w:t>to have regard</w:t>
      </w:r>
      <w:r w:rsidR="00387A00">
        <w:rPr>
          <w:rStyle w:val="FootnoteReference"/>
          <w:lang w:eastAsia="en-GB"/>
        </w:rPr>
        <w:footnoteReference w:id="2"/>
      </w:r>
      <w:r w:rsidR="00A56A27">
        <w:rPr>
          <w:lang w:eastAsia="en-GB"/>
        </w:rPr>
        <w:t xml:space="preserve">.  </w:t>
      </w:r>
      <w:r w:rsidR="00CB5EF9" w:rsidRPr="00D0076B">
        <w:rPr>
          <w:lang w:eastAsia="en-GB"/>
        </w:rPr>
        <w:t xml:space="preserve">The </w:t>
      </w:r>
      <w:r w:rsidR="00CB5EF9" w:rsidRPr="00A56A27">
        <w:rPr>
          <w:szCs w:val="24"/>
        </w:rPr>
        <w:t xml:space="preserve">guidance in force at the time of TZB’s exclusion was </w:t>
      </w:r>
      <w:r w:rsidR="00CB5EF9" w:rsidRPr="00A56A27">
        <w:rPr>
          <w:i/>
          <w:iCs/>
          <w:szCs w:val="24"/>
        </w:rPr>
        <w:t>Exclusion from maintained schools, academies and pupil referral units in England</w:t>
      </w:r>
      <w:r w:rsidR="00203CAE">
        <w:rPr>
          <w:szCs w:val="24"/>
        </w:rPr>
        <w:t xml:space="preserve">, issued in September 2017 </w:t>
      </w:r>
      <w:r w:rsidR="00CB5EF9" w:rsidRPr="00A56A27">
        <w:rPr>
          <w:szCs w:val="24"/>
        </w:rPr>
        <w:t>(“the Guidance”).</w:t>
      </w:r>
      <w:r w:rsidR="003D4308">
        <w:rPr>
          <w:szCs w:val="24"/>
        </w:rPr>
        <w:t xml:space="preserve">  </w:t>
      </w:r>
      <w:r w:rsidR="00E16F45">
        <w:rPr>
          <w:szCs w:val="24"/>
        </w:rPr>
        <w:t xml:space="preserve">  </w:t>
      </w:r>
      <w:r w:rsidR="00CB5EF9" w:rsidRPr="00A56A27">
        <w:rPr>
          <w:szCs w:val="24"/>
        </w:rPr>
        <w:t xml:space="preserve"> </w:t>
      </w:r>
    </w:p>
    <w:p w14:paraId="3C11B1E1" w14:textId="2923B4C1" w:rsidR="004D3292" w:rsidRDefault="00E16F45" w:rsidP="00972118">
      <w:pPr>
        <w:pStyle w:val="ParaLevel1"/>
      </w:pPr>
      <w:r>
        <w:t xml:space="preserve">The </w:t>
      </w:r>
      <w:r w:rsidR="00D710A6">
        <w:t>formal steps in TZB’s exclusion</w:t>
      </w:r>
      <w:r w:rsidR="00061C88">
        <w:t xml:space="preserve"> </w:t>
      </w:r>
      <w:r w:rsidR="00196312">
        <w:t>can be summarised for introductory purposes as follows:</w:t>
      </w:r>
    </w:p>
    <w:p w14:paraId="61EAB499" w14:textId="4D5FEA8A" w:rsidR="00D064A6" w:rsidRDefault="00BC0B36" w:rsidP="00972118">
      <w:pPr>
        <w:pStyle w:val="ParaLevel1"/>
        <w:numPr>
          <w:ilvl w:val="0"/>
          <w:numId w:val="0"/>
        </w:numPr>
        <w:ind w:left="1287" w:hanging="567"/>
        <w:rPr>
          <w:color w:val="000000"/>
          <w:szCs w:val="24"/>
        </w:rPr>
      </w:pPr>
      <w:r>
        <w:t>(1)</w:t>
      </w:r>
      <w:r>
        <w:tab/>
      </w:r>
      <w:r w:rsidR="008967D7">
        <w:rPr>
          <w:i/>
          <w:iCs/>
        </w:rPr>
        <w:t xml:space="preserve">The exclusion decision.  </w:t>
      </w:r>
      <w:bookmarkStart w:id="3" w:name="para4"/>
      <w:r w:rsidR="001B060A">
        <w:t xml:space="preserve">By letter dated </w:t>
      </w:r>
      <w:r w:rsidR="00FF22D6" w:rsidRPr="00057437">
        <w:t xml:space="preserve">13 May 2021 </w:t>
      </w:r>
      <w:r w:rsidR="000952B1">
        <w:t xml:space="preserve">(“the exclusion letter”) </w:t>
      </w:r>
      <w:r w:rsidR="00FF22D6" w:rsidRPr="00057437">
        <w:t xml:space="preserve">the </w:t>
      </w:r>
      <w:r w:rsidR="001E219C">
        <w:t>H</w:t>
      </w:r>
      <w:r w:rsidR="00FF22D6" w:rsidRPr="00057437">
        <w:t xml:space="preserve">eadteacher of the School </w:t>
      </w:r>
      <w:r w:rsidR="007F58FC">
        <w:t xml:space="preserve">notified the Claimant of her </w:t>
      </w:r>
      <w:r w:rsidR="00FF22D6" w:rsidRPr="00057437">
        <w:t>deci</w:t>
      </w:r>
      <w:r w:rsidR="007F58FC">
        <w:t>sion</w:t>
      </w:r>
      <w:r w:rsidR="00FF22D6" w:rsidRPr="00057437">
        <w:t xml:space="preserve"> to exclude TZB permanently with </w:t>
      </w:r>
      <w:r w:rsidR="007F58FC">
        <w:t xml:space="preserve">immediate </w:t>
      </w:r>
      <w:r w:rsidR="00FF22D6" w:rsidRPr="00057437">
        <w:t xml:space="preserve">effect </w:t>
      </w:r>
      <w:r w:rsidR="00C61E5A">
        <w:t xml:space="preserve">as a result of </w:t>
      </w:r>
      <w:bookmarkStart w:id="4" w:name="para5"/>
      <w:r w:rsidR="00C61E5A">
        <w:t xml:space="preserve">his involvement </w:t>
      </w:r>
      <w:r w:rsidR="0019266C">
        <w:t xml:space="preserve">in </w:t>
      </w:r>
      <w:r w:rsidR="00856EC1">
        <w:t>two separate assaults on fellow</w:t>
      </w:r>
      <w:r w:rsidR="00543E3F">
        <w:t xml:space="preserve"> s</w:t>
      </w:r>
      <w:r w:rsidR="00856EC1">
        <w:t xml:space="preserve">tudents committed </w:t>
      </w:r>
      <w:r w:rsidR="00A82EDE">
        <w:t>on 6 May</w:t>
      </w:r>
      <w:bookmarkEnd w:id="4"/>
      <w:r w:rsidR="00B04A10" w:rsidRPr="00950F98">
        <w:rPr>
          <w:rFonts w:asciiTheme="majorBidi" w:hAnsiTheme="majorBidi" w:cstheme="majorBidi"/>
          <w:color w:val="000000"/>
          <w:szCs w:val="24"/>
          <w:lang w:eastAsia="en-GB"/>
        </w:rPr>
        <w:t xml:space="preserve">.  </w:t>
      </w:r>
    </w:p>
    <w:p w14:paraId="1BA2ECF9" w14:textId="7F713844" w:rsidR="00C66973" w:rsidRDefault="0019266C" w:rsidP="00972118">
      <w:pPr>
        <w:pStyle w:val="ParaLevel1"/>
        <w:numPr>
          <w:ilvl w:val="0"/>
          <w:numId w:val="0"/>
        </w:numPr>
        <w:ind w:left="1287" w:hanging="567"/>
      </w:pPr>
      <w:r>
        <w:t xml:space="preserve">(2)  </w:t>
      </w:r>
      <w:r w:rsidR="008E54B1">
        <w:tab/>
      </w:r>
      <w:r>
        <w:rPr>
          <w:i/>
          <w:iCs/>
        </w:rPr>
        <w:t xml:space="preserve">The first </w:t>
      </w:r>
      <w:r w:rsidR="00B04A10">
        <w:rPr>
          <w:i/>
          <w:iCs/>
        </w:rPr>
        <w:t>GDC decision.</w:t>
      </w:r>
      <w:bookmarkStart w:id="5" w:name="para7"/>
      <w:bookmarkEnd w:id="3"/>
      <w:r w:rsidR="005A4A75">
        <w:rPr>
          <w:i/>
          <w:iCs/>
        </w:rPr>
        <w:t xml:space="preserve">  </w:t>
      </w:r>
      <w:r w:rsidR="00922D3D" w:rsidRPr="00950F98">
        <w:rPr>
          <w:rFonts w:asciiTheme="majorBidi" w:hAnsiTheme="majorBidi" w:cstheme="majorBidi"/>
          <w:color w:val="000000"/>
          <w:szCs w:val="24"/>
          <w:lang w:eastAsia="en-GB"/>
        </w:rPr>
        <w:t xml:space="preserve">The effect of </w:t>
      </w:r>
      <w:r w:rsidR="00807507">
        <w:rPr>
          <w:rFonts w:asciiTheme="majorBidi" w:hAnsiTheme="majorBidi" w:cstheme="majorBidi"/>
          <w:color w:val="000000"/>
          <w:szCs w:val="24"/>
          <w:lang w:eastAsia="en-GB"/>
        </w:rPr>
        <w:t>r</w:t>
      </w:r>
      <w:r w:rsidR="00F82FDA" w:rsidRPr="00950F98">
        <w:rPr>
          <w:rFonts w:asciiTheme="majorBidi" w:hAnsiTheme="majorBidi" w:cstheme="majorBidi"/>
          <w:color w:val="000000"/>
          <w:szCs w:val="24"/>
          <w:lang w:eastAsia="en-GB"/>
        </w:rPr>
        <w:t xml:space="preserve">egulations </w:t>
      </w:r>
      <w:r w:rsidR="00701D57">
        <w:rPr>
          <w:rFonts w:asciiTheme="majorBidi" w:hAnsiTheme="majorBidi" w:cstheme="majorBidi"/>
          <w:color w:val="000000"/>
          <w:szCs w:val="24"/>
          <w:lang w:eastAsia="en-GB"/>
        </w:rPr>
        <w:t>23-24</w:t>
      </w:r>
      <w:r w:rsidR="007B490E" w:rsidRPr="00950F98">
        <w:rPr>
          <w:rFonts w:asciiTheme="majorBidi" w:hAnsiTheme="majorBidi" w:cstheme="majorBidi"/>
          <w:color w:val="000000"/>
          <w:szCs w:val="24"/>
          <w:lang w:eastAsia="en-GB"/>
        </w:rPr>
        <w:t xml:space="preserve"> </w:t>
      </w:r>
      <w:r w:rsidR="00F82FDA" w:rsidRPr="00950F98">
        <w:rPr>
          <w:rFonts w:asciiTheme="majorBidi" w:hAnsiTheme="majorBidi" w:cstheme="majorBidi"/>
          <w:color w:val="000000"/>
          <w:szCs w:val="24"/>
          <w:lang w:eastAsia="en-GB"/>
        </w:rPr>
        <w:t xml:space="preserve">is that </w:t>
      </w:r>
      <w:r w:rsidR="00734C0B">
        <w:rPr>
          <w:rFonts w:asciiTheme="majorBidi" w:hAnsiTheme="majorBidi" w:cstheme="majorBidi"/>
          <w:color w:val="000000"/>
          <w:szCs w:val="24"/>
          <w:lang w:eastAsia="en-GB"/>
        </w:rPr>
        <w:t xml:space="preserve">in </w:t>
      </w:r>
      <w:r w:rsidR="00A370EB">
        <w:rPr>
          <w:rFonts w:asciiTheme="majorBidi" w:hAnsiTheme="majorBidi" w:cstheme="majorBidi"/>
          <w:color w:val="000000"/>
          <w:szCs w:val="24"/>
          <w:lang w:eastAsia="en-GB"/>
        </w:rPr>
        <w:t>the case</w:t>
      </w:r>
      <w:r w:rsidR="005D606C">
        <w:rPr>
          <w:rFonts w:asciiTheme="majorBidi" w:hAnsiTheme="majorBidi" w:cstheme="majorBidi"/>
          <w:color w:val="000000"/>
          <w:szCs w:val="24"/>
          <w:lang w:eastAsia="en-GB"/>
        </w:rPr>
        <w:t xml:space="preserve"> of a permanent exclusion </w:t>
      </w:r>
      <w:r w:rsidR="00B7528B">
        <w:t>the g</w:t>
      </w:r>
      <w:r w:rsidR="00FD08E9">
        <w:t>overnors</w:t>
      </w:r>
      <w:r w:rsidR="001E164B">
        <w:t xml:space="preserve"> are</w:t>
      </w:r>
      <w:r w:rsidR="00FD08E9">
        <w:t xml:space="preserve"> </w:t>
      </w:r>
      <w:r w:rsidR="00D159C4">
        <w:t>required</w:t>
      </w:r>
      <w:r w:rsidR="00A370EB">
        <w:t xml:space="preserve"> </w:t>
      </w:r>
      <w:r w:rsidR="00E301BA">
        <w:t xml:space="preserve">to consider whether </w:t>
      </w:r>
      <w:r w:rsidR="001E1C22">
        <w:t>the pupil</w:t>
      </w:r>
      <w:r w:rsidR="00E301BA">
        <w:t xml:space="preserve"> sh</w:t>
      </w:r>
      <w:r w:rsidR="00E018C1">
        <w:t>ould be reinstated</w:t>
      </w:r>
      <w:r w:rsidR="00DC4B4E">
        <w:t xml:space="preserve">.  </w:t>
      </w:r>
      <w:r w:rsidR="00E018C1">
        <w:t>At a meeting</w:t>
      </w:r>
      <w:r w:rsidR="00827CC4" w:rsidRPr="00FF22D6">
        <w:t xml:space="preserve"> on 8 June 2021 </w:t>
      </w:r>
      <w:r w:rsidR="005D46B5">
        <w:t>the</w:t>
      </w:r>
      <w:r w:rsidR="00827CC4" w:rsidRPr="00FF22D6">
        <w:t xml:space="preserve"> </w:t>
      </w:r>
      <w:r w:rsidR="00807507" w:rsidRPr="00FF22D6">
        <w:t xml:space="preserve">Disciplinary Committee of the </w:t>
      </w:r>
      <w:r w:rsidR="00807507">
        <w:t xml:space="preserve">Governors </w:t>
      </w:r>
      <w:r w:rsidR="00066D41">
        <w:t xml:space="preserve">of the School </w:t>
      </w:r>
      <w:r w:rsidR="00807507" w:rsidRPr="00FF22D6">
        <w:t>(</w:t>
      </w:r>
      <w:r w:rsidR="00807507">
        <w:t>“</w:t>
      </w:r>
      <w:r w:rsidR="00807507" w:rsidRPr="00FF22D6">
        <w:t>the </w:t>
      </w:r>
      <w:r w:rsidR="00807507" w:rsidRPr="00DE374F">
        <w:t>GDC</w:t>
      </w:r>
      <w:r w:rsidR="00807507" w:rsidRPr="00DC4B4E">
        <w:t>”</w:t>
      </w:r>
      <w:r w:rsidR="00807507" w:rsidRPr="00FF22D6">
        <w:t>)</w:t>
      </w:r>
      <w:r w:rsidR="00807507">
        <w:t xml:space="preserve"> </w:t>
      </w:r>
      <w:r w:rsidR="00827CC4" w:rsidRPr="00FF22D6">
        <w:t xml:space="preserve">decided </w:t>
      </w:r>
      <w:r w:rsidR="00D65424">
        <w:t xml:space="preserve">that </w:t>
      </w:r>
      <w:r w:rsidR="001E1C22">
        <w:t>TZB</w:t>
      </w:r>
      <w:r w:rsidR="00D65424">
        <w:t xml:space="preserve"> should not be</w:t>
      </w:r>
      <w:r w:rsidR="001E1C22">
        <w:t xml:space="preserve"> reinstated</w:t>
      </w:r>
      <w:r w:rsidR="00C9789D" w:rsidRPr="00C9789D">
        <w:t>.</w:t>
      </w:r>
      <w:r w:rsidR="00412AFB">
        <w:t xml:space="preserve"> </w:t>
      </w:r>
    </w:p>
    <w:p w14:paraId="78265770" w14:textId="52095DE4" w:rsidR="00AE47A8" w:rsidRPr="00950F98" w:rsidRDefault="00C66973" w:rsidP="00972118">
      <w:pPr>
        <w:pStyle w:val="ParaLevel1"/>
        <w:numPr>
          <w:ilvl w:val="0"/>
          <w:numId w:val="0"/>
        </w:numPr>
        <w:ind w:left="1287" w:hanging="567"/>
        <w:rPr>
          <w:szCs w:val="24"/>
        </w:rPr>
      </w:pPr>
      <w:r>
        <w:t>(3)</w:t>
      </w:r>
      <w:r>
        <w:tab/>
      </w:r>
      <w:r>
        <w:rPr>
          <w:i/>
          <w:iCs/>
        </w:rPr>
        <w:t xml:space="preserve">The </w:t>
      </w:r>
      <w:r w:rsidR="00AB23AD">
        <w:rPr>
          <w:i/>
          <w:iCs/>
        </w:rPr>
        <w:t>independent</w:t>
      </w:r>
      <w:r>
        <w:rPr>
          <w:i/>
          <w:iCs/>
        </w:rPr>
        <w:t xml:space="preserve"> review.  </w:t>
      </w:r>
      <w:r w:rsidR="00AA330D">
        <w:t>R</w:t>
      </w:r>
      <w:r w:rsidR="00412AFB">
        <w:t xml:space="preserve">egulation </w:t>
      </w:r>
      <w:r w:rsidR="009258EF">
        <w:t xml:space="preserve">25 </w:t>
      </w:r>
      <w:r w:rsidR="00AA330D">
        <w:t xml:space="preserve">provides for the establishment of </w:t>
      </w:r>
      <w:r w:rsidR="008C13E3">
        <w:t xml:space="preserve">an </w:t>
      </w:r>
      <w:r w:rsidR="00293C8B">
        <w:t>independent r</w:t>
      </w:r>
      <w:r w:rsidR="00827CC4" w:rsidRPr="00FF22D6">
        <w:t xml:space="preserve">eview </w:t>
      </w:r>
      <w:r w:rsidR="00293C8B">
        <w:t>p</w:t>
      </w:r>
      <w:r w:rsidR="00827CC4" w:rsidRPr="00FF22D6">
        <w:t>anel</w:t>
      </w:r>
      <w:r w:rsidR="00412AFB">
        <w:t xml:space="preserve"> </w:t>
      </w:r>
      <w:r w:rsidR="00AB23AD">
        <w:t xml:space="preserve">established by the local authority </w:t>
      </w:r>
      <w:r w:rsidR="00827CC4" w:rsidRPr="00FF22D6">
        <w:t>(</w:t>
      </w:r>
      <w:r w:rsidR="007F701E">
        <w:t>“</w:t>
      </w:r>
      <w:r w:rsidR="00563951">
        <w:t>an</w:t>
      </w:r>
      <w:r w:rsidR="00891FB7">
        <w:t xml:space="preserve"> IRP</w:t>
      </w:r>
      <w:r w:rsidR="007F701E">
        <w:t>”</w:t>
      </w:r>
      <w:r w:rsidR="00827CC4" w:rsidRPr="007F701E">
        <w:t>)</w:t>
      </w:r>
      <w:r w:rsidR="00F40E3A">
        <w:t xml:space="preserve">, </w:t>
      </w:r>
      <w:r w:rsidR="000678B4">
        <w:t>which may</w:t>
      </w:r>
      <w:r w:rsidR="0072659A">
        <w:t xml:space="preserve"> </w:t>
      </w:r>
      <w:bookmarkStart w:id="6" w:name="para8"/>
      <w:r w:rsidR="0051112B" w:rsidRPr="00062AD4">
        <w:rPr>
          <w:u w:val="single"/>
        </w:rPr>
        <w:t>either</w:t>
      </w:r>
      <w:r w:rsidR="0051112B">
        <w:t xml:space="preserve"> </w:t>
      </w:r>
      <w:r w:rsidR="009C7C53">
        <w:t xml:space="preserve">uphold </w:t>
      </w:r>
      <w:r w:rsidR="00110C24">
        <w:t>a</w:t>
      </w:r>
      <w:r w:rsidR="0072659A">
        <w:t xml:space="preserve"> </w:t>
      </w:r>
      <w:r w:rsidR="009C7C53">
        <w:t xml:space="preserve">decision </w:t>
      </w:r>
      <w:r w:rsidR="00110C24">
        <w:t xml:space="preserve">by the governors not to reinstate a permanently excluded pupil </w:t>
      </w:r>
      <w:r w:rsidR="0072659A" w:rsidRPr="0022326A">
        <w:rPr>
          <w:u w:val="single"/>
        </w:rPr>
        <w:t>or</w:t>
      </w:r>
      <w:r w:rsidR="00C43594">
        <w:t xml:space="preserve"> recommend that </w:t>
      </w:r>
      <w:r w:rsidR="0022326A">
        <w:t xml:space="preserve">they </w:t>
      </w:r>
      <w:r w:rsidR="00C43594">
        <w:t xml:space="preserve">reconsider </w:t>
      </w:r>
      <w:r w:rsidR="0022326A">
        <w:t xml:space="preserve">it </w:t>
      </w:r>
      <w:r w:rsidR="0022326A" w:rsidRPr="0022326A">
        <w:rPr>
          <w:u w:val="single"/>
        </w:rPr>
        <w:t>or</w:t>
      </w:r>
      <w:r w:rsidR="004B08F3">
        <w:t xml:space="preserve"> </w:t>
      </w:r>
      <w:r w:rsidR="00F411FC">
        <w:t xml:space="preserve">quash </w:t>
      </w:r>
      <w:r w:rsidR="0022326A">
        <w:t>it</w:t>
      </w:r>
      <w:r w:rsidR="00F411FC">
        <w:t xml:space="preserve"> and direct a reconsideration</w:t>
      </w:r>
      <w:r w:rsidR="004A5D2F">
        <w:t xml:space="preserve">.  </w:t>
      </w:r>
      <w:r w:rsidR="00110C24">
        <w:t xml:space="preserve">The Claimant </w:t>
      </w:r>
      <w:r w:rsidR="00D710A6">
        <w:t>applied for</w:t>
      </w:r>
      <w:r w:rsidR="00110C24">
        <w:t xml:space="preserve"> the GDC’s </w:t>
      </w:r>
      <w:r w:rsidR="00356C1E">
        <w:t>decis</w:t>
      </w:r>
      <w:r w:rsidR="00110C24">
        <w:t xml:space="preserve">ion </w:t>
      </w:r>
      <w:r w:rsidR="00563951">
        <w:t xml:space="preserve">to </w:t>
      </w:r>
      <w:r w:rsidR="00D710A6">
        <w:t>be reviewed</w:t>
      </w:r>
      <w:r w:rsidR="00CB46A2">
        <w:t xml:space="preserve">, and </w:t>
      </w:r>
      <w:r w:rsidR="00D710A6">
        <w:t>an IRP</w:t>
      </w:r>
      <w:r w:rsidR="00563951">
        <w:t xml:space="preserve"> held </w:t>
      </w:r>
      <w:r w:rsidR="00CB46A2">
        <w:t>a</w:t>
      </w:r>
      <w:r w:rsidR="00D30FF7">
        <w:t xml:space="preserve"> hearing</w:t>
      </w:r>
      <w:r w:rsidR="00F3642F">
        <w:t xml:space="preserve"> </w:t>
      </w:r>
      <w:r w:rsidR="00F3642F">
        <w:rPr>
          <w:color w:val="000000"/>
        </w:rPr>
        <w:t>over two days in January and March 2022</w:t>
      </w:r>
      <w:r w:rsidR="00B07369">
        <w:rPr>
          <w:color w:val="000000"/>
        </w:rPr>
        <w:t>.</w:t>
      </w:r>
      <w:r w:rsidR="00E636B6" w:rsidRPr="00950F98">
        <w:rPr>
          <w:color w:val="000000"/>
        </w:rPr>
        <w:t xml:space="preserve">  </w:t>
      </w:r>
      <w:r w:rsidR="00062AD4">
        <w:rPr>
          <w:color w:val="000000"/>
        </w:rPr>
        <w:t>By a decision dated</w:t>
      </w:r>
      <w:r w:rsidR="00E636B6" w:rsidRPr="00950F98">
        <w:rPr>
          <w:color w:val="000000"/>
        </w:rPr>
        <w:t xml:space="preserve"> 23 March </w:t>
      </w:r>
      <w:r w:rsidR="00D710A6">
        <w:rPr>
          <w:color w:val="000000"/>
        </w:rPr>
        <w:t>it</w:t>
      </w:r>
      <w:r w:rsidR="00173208">
        <w:rPr>
          <w:color w:val="000000"/>
        </w:rPr>
        <w:t xml:space="preserve"> </w:t>
      </w:r>
      <w:r w:rsidR="00E014BB">
        <w:rPr>
          <w:color w:val="000000"/>
        </w:rPr>
        <w:t xml:space="preserve">declined to </w:t>
      </w:r>
      <w:r w:rsidR="007D666A">
        <w:rPr>
          <w:color w:val="000000"/>
        </w:rPr>
        <w:t>quash</w:t>
      </w:r>
      <w:r w:rsidR="00E014BB">
        <w:rPr>
          <w:color w:val="000000"/>
        </w:rPr>
        <w:t xml:space="preserve"> the GDC’s decision but</w:t>
      </w:r>
      <w:r w:rsidR="00062AD4">
        <w:rPr>
          <w:color w:val="000000"/>
        </w:rPr>
        <w:t xml:space="preserve"> </w:t>
      </w:r>
      <w:r w:rsidR="00102BA6" w:rsidRPr="00950F98">
        <w:rPr>
          <w:color w:val="000000"/>
        </w:rPr>
        <w:t xml:space="preserve">identified </w:t>
      </w:r>
      <w:r w:rsidR="00062AD4">
        <w:rPr>
          <w:color w:val="000000"/>
        </w:rPr>
        <w:t>some</w:t>
      </w:r>
      <w:r w:rsidR="00102BA6" w:rsidRPr="00950F98">
        <w:rPr>
          <w:color w:val="000000"/>
        </w:rPr>
        <w:t xml:space="preserve"> concerns </w:t>
      </w:r>
      <w:r w:rsidR="00B07369">
        <w:rPr>
          <w:color w:val="000000"/>
        </w:rPr>
        <w:t xml:space="preserve">about its reasoning </w:t>
      </w:r>
      <w:r w:rsidR="008F1A7F" w:rsidRPr="00950F98">
        <w:rPr>
          <w:color w:val="000000"/>
        </w:rPr>
        <w:t>and</w:t>
      </w:r>
      <w:r w:rsidR="00E636B6" w:rsidRPr="00950F98">
        <w:rPr>
          <w:color w:val="000000"/>
        </w:rPr>
        <w:t xml:space="preserve"> recommend</w:t>
      </w:r>
      <w:r w:rsidR="008F1A7F" w:rsidRPr="00950F98">
        <w:rPr>
          <w:color w:val="000000"/>
        </w:rPr>
        <w:t>ed</w:t>
      </w:r>
      <w:r w:rsidR="00E636B6" w:rsidRPr="00950F98">
        <w:rPr>
          <w:color w:val="000000"/>
        </w:rPr>
        <w:t xml:space="preserve"> </w:t>
      </w:r>
      <w:r w:rsidR="00356C1E">
        <w:rPr>
          <w:color w:val="000000"/>
        </w:rPr>
        <w:t>a reconsideration</w:t>
      </w:r>
      <w:r w:rsidR="00E636B6" w:rsidRPr="00950F98">
        <w:rPr>
          <w:color w:val="000000"/>
        </w:rPr>
        <w:t>.</w:t>
      </w:r>
      <w:bookmarkStart w:id="7" w:name="para9"/>
      <w:bookmarkEnd w:id="6"/>
    </w:p>
    <w:p w14:paraId="5965D4D0" w14:textId="79C4936A" w:rsidR="00330C06" w:rsidRDefault="009B33CF" w:rsidP="00972118">
      <w:pPr>
        <w:pStyle w:val="ParaLevel1"/>
        <w:numPr>
          <w:ilvl w:val="0"/>
          <w:numId w:val="0"/>
        </w:numPr>
        <w:ind w:left="1287" w:hanging="567"/>
        <w:rPr>
          <w:color w:val="000000"/>
        </w:rPr>
      </w:pPr>
      <w:r>
        <w:rPr>
          <w:color w:val="000000"/>
        </w:rPr>
        <w:t>(</w:t>
      </w:r>
      <w:r w:rsidR="00330C06">
        <w:rPr>
          <w:color w:val="000000"/>
        </w:rPr>
        <w:t>4)</w:t>
      </w:r>
      <w:r w:rsidR="00330C06">
        <w:rPr>
          <w:color w:val="000000"/>
        </w:rPr>
        <w:tab/>
      </w:r>
      <w:r w:rsidR="00E636B6" w:rsidRPr="00330C06">
        <w:rPr>
          <w:i/>
          <w:iCs/>
          <w:color w:val="000000"/>
        </w:rPr>
        <w:t>The GDC</w:t>
      </w:r>
      <w:r w:rsidR="00330C06" w:rsidRPr="00330C06">
        <w:rPr>
          <w:i/>
          <w:iCs/>
          <w:color w:val="000000"/>
        </w:rPr>
        <w:t>’s reconsideration</w:t>
      </w:r>
      <w:r w:rsidR="00330C06">
        <w:rPr>
          <w:color w:val="000000"/>
        </w:rPr>
        <w:t>.</w:t>
      </w:r>
      <w:r w:rsidR="008E31E4">
        <w:rPr>
          <w:color w:val="000000"/>
        </w:rPr>
        <w:t xml:space="preserve">  </w:t>
      </w:r>
      <w:r w:rsidR="00952E61">
        <w:rPr>
          <w:color w:val="000000"/>
        </w:rPr>
        <w:t xml:space="preserve">The </w:t>
      </w:r>
      <w:r w:rsidR="00826748">
        <w:t xml:space="preserve">GDC </w:t>
      </w:r>
      <w:r w:rsidR="00E636B6" w:rsidRPr="00AE47A8">
        <w:rPr>
          <w:color w:val="000000"/>
        </w:rPr>
        <w:t>reconvened on 11 July 2022</w:t>
      </w:r>
      <w:r w:rsidR="004D7967">
        <w:rPr>
          <w:color w:val="000000"/>
        </w:rPr>
        <w:t xml:space="preserve"> in order </w:t>
      </w:r>
      <w:r w:rsidR="00952E61">
        <w:t>to reconsider TZB’s exclusion</w:t>
      </w:r>
      <w:r w:rsidR="00117F54">
        <w:t xml:space="preserve"> in accordance with the IR</w:t>
      </w:r>
      <w:r w:rsidR="00543E3F">
        <w:t>P</w:t>
      </w:r>
      <w:r w:rsidR="00117F54">
        <w:t>’s recommendation</w:t>
      </w:r>
      <w:r w:rsidR="00952E61">
        <w:t xml:space="preserve">.  </w:t>
      </w:r>
      <w:r w:rsidR="004407B1">
        <w:rPr>
          <w:color w:val="000000"/>
        </w:rPr>
        <w:t>It decided</w:t>
      </w:r>
      <w:r w:rsidR="00E636B6" w:rsidRPr="00AE47A8">
        <w:rPr>
          <w:color w:val="000000"/>
        </w:rPr>
        <w:t xml:space="preserve"> to confirm </w:t>
      </w:r>
      <w:r w:rsidR="00342A55">
        <w:rPr>
          <w:color w:val="000000"/>
        </w:rPr>
        <w:t>its original decision</w:t>
      </w:r>
      <w:r w:rsidR="00715E69" w:rsidRPr="00715E69">
        <w:rPr>
          <w:color w:val="000000"/>
        </w:rPr>
        <w:t>.</w:t>
      </w:r>
      <w:bookmarkEnd w:id="7"/>
      <w:r w:rsidR="00F16F3E">
        <w:rPr>
          <w:color w:val="000000"/>
        </w:rPr>
        <w:t xml:space="preserve">  </w:t>
      </w:r>
    </w:p>
    <w:p w14:paraId="0DF0F550" w14:textId="25158A82" w:rsidR="00084217" w:rsidRPr="00520819" w:rsidRDefault="00084217" w:rsidP="00972118">
      <w:pPr>
        <w:pStyle w:val="ParaLevel1"/>
        <w:numPr>
          <w:ilvl w:val="0"/>
          <w:numId w:val="0"/>
        </w:numPr>
        <w:ind w:left="720"/>
        <w:rPr>
          <w:szCs w:val="24"/>
        </w:rPr>
      </w:pPr>
      <w:r>
        <w:t xml:space="preserve">The challenge in these proceedings is only to the GDC’s reconsideration decision, but the earlier stages in the process are </w:t>
      </w:r>
      <w:r w:rsidR="00D710A6">
        <w:t xml:space="preserve">evidently </w:t>
      </w:r>
      <w:r>
        <w:t>highly material.</w:t>
      </w:r>
    </w:p>
    <w:p w14:paraId="1722E38A" w14:textId="073635FE" w:rsidR="00262A2D" w:rsidRDefault="006E6619" w:rsidP="00972118">
      <w:pPr>
        <w:pStyle w:val="ParaLevel1"/>
        <w:rPr>
          <w:szCs w:val="24"/>
        </w:rPr>
      </w:pPr>
      <w:r>
        <w:rPr>
          <w:szCs w:val="24"/>
        </w:rPr>
        <w:t>In her claim form t</w:t>
      </w:r>
      <w:r w:rsidR="00475275">
        <w:rPr>
          <w:szCs w:val="24"/>
        </w:rPr>
        <w:t>he Claimant challenge</w:t>
      </w:r>
      <w:r>
        <w:rPr>
          <w:szCs w:val="24"/>
        </w:rPr>
        <w:t>d</w:t>
      </w:r>
      <w:r w:rsidR="00475275">
        <w:rPr>
          <w:szCs w:val="24"/>
        </w:rPr>
        <w:t xml:space="preserve"> the lawfulness of the reconsider</w:t>
      </w:r>
      <w:r w:rsidR="00262A2D">
        <w:rPr>
          <w:szCs w:val="24"/>
        </w:rPr>
        <w:t xml:space="preserve">ation decision on two </w:t>
      </w:r>
      <w:r w:rsidR="0019348E">
        <w:rPr>
          <w:szCs w:val="24"/>
        </w:rPr>
        <w:t>grounds</w:t>
      </w:r>
      <w:r>
        <w:rPr>
          <w:szCs w:val="24"/>
        </w:rPr>
        <w:t xml:space="preserve">, which I can </w:t>
      </w:r>
      <w:r w:rsidR="002755C1">
        <w:rPr>
          <w:szCs w:val="24"/>
        </w:rPr>
        <w:t xml:space="preserve">sufficiently </w:t>
      </w:r>
      <w:r>
        <w:rPr>
          <w:szCs w:val="24"/>
        </w:rPr>
        <w:t xml:space="preserve">summarise </w:t>
      </w:r>
      <w:r w:rsidR="002755C1">
        <w:rPr>
          <w:szCs w:val="24"/>
        </w:rPr>
        <w:t xml:space="preserve">for present purposes </w:t>
      </w:r>
      <w:r>
        <w:rPr>
          <w:szCs w:val="24"/>
        </w:rPr>
        <w:t>as follows</w:t>
      </w:r>
      <w:r w:rsidR="00262A2D">
        <w:rPr>
          <w:szCs w:val="24"/>
        </w:rPr>
        <w:t>:</w:t>
      </w:r>
    </w:p>
    <w:p w14:paraId="4FCE8F56" w14:textId="69D90DE4" w:rsidR="006E6619" w:rsidRDefault="00603FBA" w:rsidP="00972118">
      <w:pPr>
        <w:pStyle w:val="ParaLevel1"/>
        <w:numPr>
          <w:ilvl w:val="0"/>
          <w:numId w:val="0"/>
        </w:numPr>
        <w:ind w:left="1287" w:hanging="567"/>
        <w:rPr>
          <w:color w:val="000000"/>
          <w:szCs w:val="24"/>
        </w:rPr>
      </w:pPr>
      <w:r>
        <w:rPr>
          <w:szCs w:val="24"/>
        </w:rPr>
        <w:t>(A)</w:t>
      </w:r>
      <w:r w:rsidR="00262A2D">
        <w:rPr>
          <w:szCs w:val="24"/>
        </w:rPr>
        <w:tab/>
      </w:r>
      <w:r w:rsidR="00B241B5">
        <w:rPr>
          <w:i/>
          <w:iCs/>
          <w:szCs w:val="24"/>
        </w:rPr>
        <w:t>Breach of the Public Sector Equality Duty</w:t>
      </w:r>
      <w:r w:rsidR="00DB68C1">
        <w:rPr>
          <w:szCs w:val="24"/>
        </w:rPr>
        <w:t>.</w:t>
      </w:r>
      <w:r w:rsidR="00262A2D">
        <w:rPr>
          <w:szCs w:val="24"/>
        </w:rPr>
        <w:t xml:space="preserve">  </w:t>
      </w:r>
      <w:bookmarkStart w:id="8" w:name="para12"/>
      <w:r w:rsidR="0028367A">
        <w:rPr>
          <w:szCs w:val="24"/>
        </w:rPr>
        <w:t>She</w:t>
      </w:r>
      <w:r w:rsidR="005A2E12">
        <w:rPr>
          <w:color w:val="000000"/>
          <w:szCs w:val="24"/>
        </w:rPr>
        <w:t xml:space="preserve"> contend</w:t>
      </w:r>
      <w:r w:rsidR="006E1FE2">
        <w:rPr>
          <w:color w:val="000000"/>
          <w:szCs w:val="24"/>
        </w:rPr>
        <w:t>ed</w:t>
      </w:r>
      <w:r w:rsidR="005A2E12">
        <w:rPr>
          <w:color w:val="000000"/>
          <w:szCs w:val="24"/>
        </w:rPr>
        <w:t xml:space="preserve"> </w:t>
      </w:r>
      <w:r w:rsidR="00174D10" w:rsidRPr="00C33452">
        <w:rPr>
          <w:color w:val="000000"/>
          <w:szCs w:val="24"/>
        </w:rPr>
        <w:t xml:space="preserve">that the </w:t>
      </w:r>
      <w:r w:rsidR="008057BF">
        <w:rPr>
          <w:color w:val="000000"/>
          <w:szCs w:val="24"/>
        </w:rPr>
        <w:t>original e</w:t>
      </w:r>
      <w:r w:rsidR="00174D10" w:rsidRPr="00C33452">
        <w:rPr>
          <w:color w:val="000000"/>
          <w:szCs w:val="24"/>
        </w:rPr>
        <w:t xml:space="preserve">xclusion </w:t>
      </w:r>
      <w:r w:rsidR="008057BF">
        <w:rPr>
          <w:color w:val="000000"/>
          <w:szCs w:val="24"/>
        </w:rPr>
        <w:t>d</w:t>
      </w:r>
      <w:r w:rsidR="00174D10" w:rsidRPr="00C33452">
        <w:rPr>
          <w:color w:val="000000"/>
          <w:szCs w:val="24"/>
        </w:rPr>
        <w:t xml:space="preserve">ecision was unlawful because the </w:t>
      </w:r>
      <w:r w:rsidR="00B84FD9">
        <w:rPr>
          <w:color w:val="000000"/>
          <w:szCs w:val="24"/>
        </w:rPr>
        <w:t xml:space="preserve">Headteacher </w:t>
      </w:r>
      <w:r w:rsidR="00416E16">
        <w:rPr>
          <w:color w:val="000000"/>
          <w:szCs w:val="24"/>
        </w:rPr>
        <w:t xml:space="preserve">had failed to comply with </w:t>
      </w:r>
      <w:r w:rsidR="00804C26">
        <w:rPr>
          <w:color w:val="000000"/>
          <w:szCs w:val="24"/>
        </w:rPr>
        <w:t xml:space="preserve">the public sector equality duty prescribed by </w:t>
      </w:r>
      <w:r w:rsidR="00416E16">
        <w:rPr>
          <w:color w:val="000000"/>
          <w:szCs w:val="24"/>
        </w:rPr>
        <w:t>se</w:t>
      </w:r>
      <w:r w:rsidR="00EA14A1">
        <w:rPr>
          <w:color w:val="000000"/>
          <w:szCs w:val="24"/>
        </w:rPr>
        <w:t xml:space="preserve">ction 149 </w:t>
      </w:r>
      <w:r w:rsidR="00BC29BE">
        <w:rPr>
          <w:color w:val="000000"/>
          <w:szCs w:val="24"/>
        </w:rPr>
        <w:t xml:space="preserve">(1) </w:t>
      </w:r>
      <w:r w:rsidR="00EA14A1">
        <w:rPr>
          <w:color w:val="000000"/>
          <w:szCs w:val="24"/>
        </w:rPr>
        <w:t xml:space="preserve">of the Equality Act 2010 </w:t>
      </w:r>
      <w:r w:rsidR="00047BA8">
        <w:rPr>
          <w:color w:val="000000"/>
          <w:szCs w:val="24"/>
        </w:rPr>
        <w:t>(“</w:t>
      </w:r>
      <w:r w:rsidR="00804C26">
        <w:rPr>
          <w:color w:val="000000"/>
          <w:szCs w:val="24"/>
        </w:rPr>
        <w:t xml:space="preserve">the </w:t>
      </w:r>
      <w:r w:rsidR="00047BA8">
        <w:rPr>
          <w:color w:val="000000"/>
          <w:szCs w:val="24"/>
        </w:rPr>
        <w:t>PSED”)</w:t>
      </w:r>
      <w:r w:rsidR="005072D0">
        <w:rPr>
          <w:color w:val="000000"/>
          <w:szCs w:val="24"/>
        </w:rPr>
        <w:t xml:space="preserve">; </w:t>
      </w:r>
      <w:r w:rsidR="007D4F84">
        <w:rPr>
          <w:color w:val="000000"/>
          <w:szCs w:val="24"/>
        </w:rPr>
        <w:t xml:space="preserve">and that the </w:t>
      </w:r>
      <w:r w:rsidR="007B0617">
        <w:rPr>
          <w:color w:val="000000"/>
          <w:szCs w:val="24"/>
        </w:rPr>
        <w:t xml:space="preserve">GDC’s </w:t>
      </w:r>
      <w:r w:rsidR="0048477F">
        <w:rPr>
          <w:color w:val="000000"/>
          <w:szCs w:val="24"/>
        </w:rPr>
        <w:t xml:space="preserve">reconsideration </w:t>
      </w:r>
      <w:r w:rsidR="00A64732">
        <w:rPr>
          <w:color w:val="000000"/>
          <w:szCs w:val="24"/>
        </w:rPr>
        <w:t xml:space="preserve">decision </w:t>
      </w:r>
      <w:r w:rsidR="0048477F">
        <w:rPr>
          <w:color w:val="000000"/>
          <w:szCs w:val="24"/>
        </w:rPr>
        <w:t xml:space="preserve">was wrong in </w:t>
      </w:r>
      <w:r w:rsidR="00A64732">
        <w:rPr>
          <w:color w:val="000000"/>
          <w:szCs w:val="24"/>
        </w:rPr>
        <w:t xml:space="preserve">failing </w:t>
      </w:r>
      <w:r w:rsidR="007B0617">
        <w:rPr>
          <w:color w:val="000000"/>
          <w:szCs w:val="24"/>
        </w:rPr>
        <w:t xml:space="preserve">to </w:t>
      </w:r>
      <w:r w:rsidR="001A0088">
        <w:rPr>
          <w:color w:val="000000"/>
          <w:szCs w:val="24"/>
        </w:rPr>
        <w:t>find such a failure</w:t>
      </w:r>
      <w:r w:rsidR="004634AE">
        <w:rPr>
          <w:color w:val="000000"/>
          <w:szCs w:val="24"/>
        </w:rPr>
        <w:t xml:space="preserve"> and to reinstate </w:t>
      </w:r>
      <w:r w:rsidR="00D710A6">
        <w:rPr>
          <w:color w:val="000000"/>
          <w:szCs w:val="24"/>
        </w:rPr>
        <w:t>t</w:t>
      </w:r>
      <w:r w:rsidR="004634AE">
        <w:rPr>
          <w:color w:val="000000"/>
          <w:szCs w:val="24"/>
        </w:rPr>
        <w:t>he Claimant accordingly</w:t>
      </w:r>
      <w:r w:rsidR="006E6619">
        <w:rPr>
          <w:color w:val="000000"/>
          <w:szCs w:val="24"/>
        </w:rPr>
        <w:t>.</w:t>
      </w:r>
    </w:p>
    <w:p w14:paraId="04EA80B6" w14:textId="62C06EC1" w:rsidR="007B0617" w:rsidRPr="007B0617" w:rsidRDefault="00603FBA" w:rsidP="00972118">
      <w:pPr>
        <w:pStyle w:val="ParaLevel1"/>
        <w:numPr>
          <w:ilvl w:val="0"/>
          <w:numId w:val="0"/>
        </w:numPr>
        <w:ind w:left="1287" w:hanging="567"/>
        <w:rPr>
          <w:color w:val="000000"/>
          <w:szCs w:val="24"/>
        </w:rPr>
      </w:pPr>
      <w:r>
        <w:rPr>
          <w:color w:val="000000"/>
          <w:szCs w:val="24"/>
        </w:rPr>
        <w:t>(B)</w:t>
      </w:r>
      <w:r w:rsidR="007B0617">
        <w:rPr>
          <w:color w:val="000000"/>
          <w:szCs w:val="24"/>
        </w:rPr>
        <w:tab/>
      </w:r>
      <w:r w:rsidR="007B0617">
        <w:rPr>
          <w:i/>
          <w:iCs/>
          <w:color w:val="000000"/>
          <w:szCs w:val="24"/>
        </w:rPr>
        <w:t xml:space="preserve">Inadequate reasons.  </w:t>
      </w:r>
      <w:r w:rsidR="007B0617" w:rsidRPr="007B0617">
        <w:rPr>
          <w:color w:val="000000"/>
          <w:szCs w:val="24"/>
        </w:rPr>
        <w:t xml:space="preserve">The Claimant contended that </w:t>
      </w:r>
      <w:r w:rsidR="007B0617">
        <w:rPr>
          <w:color w:val="000000"/>
          <w:szCs w:val="24"/>
        </w:rPr>
        <w:t>the reconsideration decision was inadequately reasoned</w:t>
      </w:r>
      <w:r w:rsidR="002438C5">
        <w:rPr>
          <w:color w:val="000000"/>
          <w:szCs w:val="24"/>
        </w:rPr>
        <w:t xml:space="preserve"> in </w:t>
      </w:r>
      <w:r w:rsidR="002755C1">
        <w:rPr>
          <w:color w:val="000000"/>
          <w:szCs w:val="24"/>
        </w:rPr>
        <w:t xml:space="preserve">that it did not properly address the matters of concern raised by </w:t>
      </w:r>
      <w:r w:rsidR="00891FB7">
        <w:rPr>
          <w:color w:val="000000"/>
          <w:szCs w:val="24"/>
        </w:rPr>
        <w:t>the IRP</w:t>
      </w:r>
      <w:r w:rsidR="002755C1">
        <w:rPr>
          <w:color w:val="000000"/>
          <w:szCs w:val="24"/>
        </w:rPr>
        <w:t>.</w:t>
      </w:r>
      <w:r w:rsidR="007B0617">
        <w:rPr>
          <w:color w:val="000000"/>
          <w:szCs w:val="24"/>
        </w:rPr>
        <w:t xml:space="preserve"> </w:t>
      </w:r>
    </w:p>
    <w:p w14:paraId="4B0D2799" w14:textId="73B599B4" w:rsidR="002E2941" w:rsidRDefault="002E2941" w:rsidP="00972118">
      <w:pPr>
        <w:pStyle w:val="ParaLevel1"/>
        <w:rPr>
          <w:lang w:eastAsia="en-GB"/>
        </w:rPr>
      </w:pPr>
      <w:bookmarkStart w:id="9" w:name="para14"/>
      <w:bookmarkEnd w:id="8"/>
      <w:r>
        <w:t xml:space="preserve">The primary relief sought by the Claimant was the quashing of the exclusion decision.  She did not seek an order that TZB be reinstated, since he did not wish </w:t>
      </w:r>
      <w:r w:rsidRPr="00C33452">
        <w:t>to return to the School</w:t>
      </w:r>
      <w:r>
        <w:t>; but she said that it was prejudicial to him to have a</w:t>
      </w:r>
      <w:r w:rsidRPr="00C33452">
        <w:t xml:space="preserve"> permanent exclusion on his record and it affected the way </w:t>
      </w:r>
      <w:r>
        <w:t xml:space="preserve">that </w:t>
      </w:r>
      <w:r w:rsidRPr="00C33452">
        <w:t>he felt about himself.</w:t>
      </w:r>
      <w:bookmarkEnd w:id="9"/>
    </w:p>
    <w:p w14:paraId="15711C5C" w14:textId="7CF1DA0B" w:rsidR="00E569EC" w:rsidRPr="00C33452" w:rsidRDefault="00562478" w:rsidP="00972118">
      <w:pPr>
        <w:pStyle w:val="ParaLevel1"/>
        <w:rPr>
          <w:lang w:eastAsia="en-GB"/>
        </w:rPr>
      </w:pPr>
      <w:r>
        <w:t xml:space="preserve">The Judge </w:t>
      </w:r>
      <w:r w:rsidR="007F6678">
        <w:t xml:space="preserve">dismissed both grounds.  </w:t>
      </w:r>
      <w:r w:rsidR="00E569EC">
        <w:t xml:space="preserve">I will consider the Claimant’s </w:t>
      </w:r>
      <w:r w:rsidR="00E23E5A">
        <w:t xml:space="preserve">challenges to his decision by reference to the two grounds separately.  </w:t>
      </w:r>
      <w:r w:rsidR="00E569EC">
        <w:t xml:space="preserve"> </w:t>
      </w:r>
    </w:p>
    <w:p w14:paraId="6AC1659D" w14:textId="77777777" w:rsidR="002E2941" w:rsidRPr="00A25652" w:rsidRDefault="002E2941" w:rsidP="00972118">
      <w:pPr>
        <w:pStyle w:val="ParaLevel1"/>
        <w:keepNext/>
        <w:numPr>
          <w:ilvl w:val="0"/>
          <w:numId w:val="0"/>
        </w:numPr>
        <w:rPr>
          <w:b/>
          <w:bCs/>
          <w:szCs w:val="24"/>
          <w:u w:val="single"/>
        </w:rPr>
      </w:pPr>
      <w:r w:rsidRPr="00A25652">
        <w:rPr>
          <w:b/>
          <w:bCs/>
          <w:szCs w:val="24"/>
          <w:u w:val="single"/>
        </w:rPr>
        <w:t>(A)</w:t>
      </w:r>
      <w:r w:rsidRPr="00A25652">
        <w:rPr>
          <w:b/>
          <w:bCs/>
          <w:szCs w:val="24"/>
          <w:u w:val="single"/>
        </w:rPr>
        <w:tab/>
        <w:t xml:space="preserve">   THE P</w:t>
      </w:r>
      <w:r>
        <w:rPr>
          <w:b/>
          <w:bCs/>
          <w:szCs w:val="24"/>
          <w:u w:val="single"/>
        </w:rPr>
        <w:t xml:space="preserve">UBLIC SECTOR EQUALITY DUTY GROUND </w:t>
      </w:r>
    </w:p>
    <w:p w14:paraId="1864305F" w14:textId="77777777" w:rsidR="002E2941" w:rsidRPr="00CA5705" w:rsidRDefault="002E2941" w:rsidP="00972118">
      <w:pPr>
        <w:pStyle w:val="ParaLevel1"/>
        <w:keepNext/>
        <w:numPr>
          <w:ilvl w:val="0"/>
          <w:numId w:val="0"/>
        </w:numPr>
        <w:ind w:left="720" w:hanging="720"/>
        <w:rPr>
          <w:u w:val="single"/>
          <w:lang w:eastAsia="en-GB"/>
        </w:rPr>
      </w:pPr>
      <w:r>
        <w:rPr>
          <w:u w:val="single"/>
          <w:lang w:eastAsia="en-GB"/>
        </w:rPr>
        <w:t>THE STATUTE</w:t>
      </w:r>
    </w:p>
    <w:p w14:paraId="6B49FC88" w14:textId="6E2B5907" w:rsidR="00942609" w:rsidRPr="008B3375" w:rsidRDefault="00552D62" w:rsidP="00972118">
      <w:pPr>
        <w:pStyle w:val="ParaLevel1"/>
        <w:keepNext/>
        <w:rPr>
          <w:lang w:eastAsia="en-GB"/>
        </w:rPr>
      </w:pPr>
      <w:r>
        <w:rPr>
          <w:lang w:eastAsia="en-GB"/>
        </w:rPr>
        <w:t xml:space="preserve">The PSED is enacted </w:t>
      </w:r>
      <w:r w:rsidR="00A87E6F">
        <w:rPr>
          <w:lang w:eastAsia="en-GB"/>
        </w:rPr>
        <w:t>by Part 11 of the 2010 Act</w:t>
      </w:r>
      <w:r w:rsidR="00AD3336">
        <w:rPr>
          <w:lang w:eastAsia="en-GB"/>
        </w:rPr>
        <w:t xml:space="preserve"> (“Advancement of equality”)</w:t>
      </w:r>
      <w:r w:rsidR="00A87E6F">
        <w:rPr>
          <w:lang w:eastAsia="en-GB"/>
        </w:rPr>
        <w:t xml:space="preserve">.  </w:t>
      </w:r>
      <w:r w:rsidR="00942609">
        <w:rPr>
          <w:lang w:eastAsia="en-GB"/>
        </w:rPr>
        <w:t>So far as material for our purposes, section 149 reads:</w:t>
      </w:r>
    </w:p>
    <w:p w14:paraId="1069E598" w14:textId="77777777" w:rsidR="00942609" w:rsidRPr="00175180" w:rsidRDefault="00942609" w:rsidP="00972118">
      <w:pPr>
        <w:ind w:left="1418" w:right="793"/>
        <w:jc w:val="both"/>
        <w:rPr>
          <w:color w:val="000000"/>
        </w:rPr>
      </w:pPr>
      <w:r w:rsidRPr="00175180">
        <w:rPr>
          <w:color w:val="000000"/>
        </w:rPr>
        <w:t xml:space="preserve">“(1) </w:t>
      </w:r>
      <w:r>
        <w:rPr>
          <w:color w:val="000000"/>
        </w:rPr>
        <w:t xml:space="preserve"> </w:t>
      </w:r>
      <w:r w:rsidRPr="00175180">
        <w:rPr>
          <w:color w:val="000000"/>
        </w:rPr>
        <w:t xml:space="preserve">A public authority must, in the exercise of its functions, </w:t>
      </w:r>
      <w:bookmarkStart w:id="10" w:name="_Hlk190075221"/>
      <w:r w:rsidRPr="00175180">
        <w:rPr>
          <w:color w:val="000000"/>
        </w:rPr>
        <w:t>have due regard to the need to –</w:t>
      </w:r>
    </w:p>
    <w:p w14:paraId="4999B92E" w14:textId="77777777" w:rsidR="00942609" w:rsidRPr="00175180" w:rsidRDefault="00942609" w:rsidP="00972118">
      <w:pPr>
        <w:ind w:left="1418" w:right="793"/>
        <w:jc w:val="both"/>
        <w:rPr>
          <w:color w:val="000000"/>
          <w:lang w:eastAsia="en-GB"/>
        </w:rPr>
      </w:pPr>
    </w:p>
    <w:p w14:paraId="2962060F" w14:textId="77777777" w:rsidR="00942609" w:rsidRPr="00175180" w:rsidRDefault="00942609" w:rsidP="00972118">
      <w:pPr>
        <w:ind w:left="1985" w:right="793" w:hanging="567"/>
        <w:jc w:val="both"/>
        <w:rPr>
          <w:color w:val="000000"/>
        </w:rPr>
      </w:pPr>
      <w:r w:rsidRPr="00175180">
        <w:rPr>
          <w:color w:val="000000"/>
        </w:rPr>
        <w:t xml:space="preserve">(a) </w:t>
      </w:r>
      <w:r>
        <w:rPr>
          <w:color w:val="000000"/>
        </w:rPr>
        <w:tab/>
      </w:r>
      <w:r w:rsidRPr="00175180">
        <w:rPr>
          <w:color w:val="000000"/>
        </w:rPr>
        <w:t>eliminate discrimination, harassment, victimisation and any other conduct that is prohibited by or under this Act</w:t>
      </w:r>
      <w:bookmarkEnd w:id="10"/>
      <w:r w:rsidRPr="00175180">
        <w:rPr>
          <w:color w:val="000000"/>
        </w:rPr>
        <w:t>;</w:t>
      </w:r>
    </w:p>
    <w:p w14:paraId="308F39F4" w14:textId="77777777" w:rsidR="00942609" w:rsidRPr="00175180" w:rsidRDefault="00942609" w:rsidP="00972118">
      <w:pPr>
        <w:ind w:left="1985" w:right="793" w:hanging="567"/>
        <w:jc w:val="both"/>
        <w:rPr>
          <w:color w:val="000000"/>
        </w:rPr>
      </w:pPr>
    </w:p>
    <w:p w14:paraId="01AF0A94" w14:textId="77777777" w:rsidR="00942609" w:rsidRPr="00175180" w:rsidRDefault="00942609" w:rsidP="00972118">
      <w:pPr>
        <w:ind w:left="1985" w:right="793" w:hanging="567"/>
        <w:jc w:val="both"/>
        <w:rPr>
          <w:color w:val="000000"/>
        </w:rPr>
      </w:pPr>
      <w:r w:rsidRPr="00175180">
        <w:rPr>
          <w:color w:val="000000"/>
        </w:rPr>
        <w:t xml:space="preserve">(b) </w:t>
      </w:r>
      <w:r>
        <w:rPr>
          <w:color w:val="000000"/>
        </w:rPr>
        <w:tab/>
      </w:r>
      <w:r w:rsidRPr="00175180">
        <w:rPr>
          <w:color w:val="000000"/>
        </w:rPr>
        <w:t>advance equality of opportunity between persons who share a relevant protected characteristic and persons who do not share it;</w:t>
      </w:r>
    </w:p>
    <w:p w14:paraId="33358770" w14:textId="77777777" w:rsidR="00942609" w:rsidRPr="00175180" w:rsidRDefault="00942609" w:rsidP="00972118">
      <w:pPr>
        <w:ind w:left="1985" w:right="793" w:hanging="567"/>
        <w:jc w:val="both"/>
        <w:rPr>
          <w:color w:val="000000"/>
        </w:rPr>
      </w:pPr>
    </w:p>
    <w:p w14:paraId="2799ABF5" w14:textId="77777777" w:rsidR="00942609" w:rsidRPr="00175180" w:rsidRDefault="00942609" w:rsidP="00972118">
      <w:pPr>
        <w:ind w:left="1985" w:right="793" w:hanging="567"/>
        <w:jc w:val="both"/>
        <w:rPr>
          <w:color w:val="000000"/>
        </w:rPr>
      </w:pPr>
      <w:r w:rsidRPr="00175180">
        <w:rPr>
          <w:color w:val="000000"/>
        </w:rPr>
        <w:t xml:space="preserve">(c) </w:t>
      </w:r>
      <w:r>
        <w:rPr>
          <w:color w:val="000000"/>
        </w:rPr>
        <w:tab/>
      </w:r>
      <w:r w:rsidRPr="00175180">
        <w:rPr>
          <w:color w:val="000000"/>
        </w:rPr>
        <w:t>foster good relations between persons who share a relevant protected characteristic and persons who do not share it.</w:t>
      </w:r>
    </w:p>
    <w:p w14:paraId="4D669F6F" w14:textId="77777777" w:rsidR="00942609" w:rsidRPr="00175180" w:rsidRDefault="00942609" w:rsidP="00972118">
      <w:pPr>
        <w:ind w:left="1418" w:right="793"/>
        <w:jc w:val="both"/>
        <w:rPr>
          <w:color w:val="000000"/>
        </w:rPr>
      </w:pPr>
    </w:p>
    <w:p w14:paraId="74FF3F76" w14:textId="77431E45" w:rsidR="00942609" w:rsidRPr="00CC0E60" w:rsidRDefault="00942609" w:rsidP="00972118">
      <w:pPr>
        <w:ind w:left="1418" w:right="793"/>
        <w:jc w:val="both"/>
        <w:rPr>
          <w:rFonts w:asciiTheme="majorBidi" w:hAnsiTheme="majorBidi" w:cstheme="majorBidi"/>
          <w:color w:val="000000"/>
        </w:rPr>
      </w:pPr>
      <w:r w:rsidRPr="00175180">
        <w:rPr>
          <w:color w:val="000000"/>
        </w:rPr>
        <w:t xml:space="preserve">(2) </w:t>
      </w:r>
      <w:r>
        <w:rPr>
          <w:color w:val="000000"/>
        </w:rPr>
        <w:t xml:space="preserve">   </w:t>
      </w:r>
      <w:r w:rsidR="00CC0E60" w:rsidRPr="00CC0E60">
        <w:rPr>
          <w:rFonts w:asciiTheme="majorBidi" w:hAnsiTheme="majorBidi" w:cstheme="majorBidi"/>
          <w:color w:val="1E1E1E"/>
          <w:shd w:val="clear" w:color="auto" w:fill="FFFFFF"/>
        </w:rPr>
        <w:t>A person who is not a public authority but who exercises public functions must, in the exercise of those functions, have due regard to the matters mentioned in subsection (1).</w:t>
      </w:r>
    </w:p>
    <w:p w14:paraId="7F327F69" w14:textId="77777777" w:rsidR="00942609" w:rsidRPr="00175180" w:rsidRDefault="00942609" w:rsidP="00972118">
      <w:pPr>
        <w:ind w:left="1418" w:right="793"/>
        <w:jc w:val="both"/>
        <w:rPr>
          <w:color w:val="000000"/>
        </w:rPr>
      </w:pPr>
    </w:p>
    <w:p w14:paraId="4F4ECE90" w14:textId="77777777" w:rsidR="00942609" w:rsidRPr="00175180" w:rsidRDefault="00942609" w:rsidP="00972118">
      <w:pPr>
        <w:ind w:left="1418" w:right="793"/>
        <w:jc w:val="both"/>
        <w:rPr>
          <w:color w:val="000000"/>
        </w:rPr>
      </w:pPr>
      <w:r w:rsidRPr="00175180">
        <w:rPr>
          <w:color w:val="000000"/>
        </w:rPr>
        <w:t xml:space="preserve">(3) </w:t>
      </w:r>
      <w:r>
        <w:rPr>
          <w:color w:val="000000"/>
        </w:rPr>
        <w:t xml:space="preserve">  </w:t>
      </w:r>
      <w:r w:rsidRPr="00175180">
        <w:rPr>
          <w:color w:val="000000"/>
        </w:rPr>
        <w:t>Having due regard to the need to advance equality of opportunity between persons who share a relevant protected characteristic and persons who do not share it involves having due regard, in particular, to the need to –</w:t>
      </w:r>
    </w:p>
    <w:p w14:paraId="1D57480D" w14:textId="77777777" w:rsidR="00942609" w:rsidRPr="00175180" w:rsidRDefault="00942609" w:rsidP="00972118">
      <w:pPr>
        <w:ind w:left="1418" w:right="793"/>
        <w:jc w:val="both"/>
        <w:rPr>
          <w:color w:val="000000"/>
        </w:rPr>
      </w:pPr>
    </w:p>
    <w:p w14:paraId="3873D71E" w14:textId="77777777" w:rsidR="00942609" w:rsidRPr="00175180" w:rsidRDefault="00942609" w:rsidP="00972118">
      <w:pPr>
        <w:ind w:left="1985" w:right="793" w:hanging="567"/>
        <w:jc w:val="both"/>
        <w:rPr>
          <w:color w:val="000000"/>
        </w:rPr>
      </w:pPr>
      <w:r w:rsidRPr="00175180">
        <w:rPr>
          <w:color w:val="000000"/>
        </w:rPr>
        <w:t xml:space="preserve">(a) </w:t>
      </w:r>
      <w:r>
        <w:rPr>
          <w:color w:val="000000"/>
        </w:rPr>
        <w:tab/>
      </w:r>
      <w:r w:rsidRPr="00175180">
        <w:rPr>
          <w:color w:val="000000"/>
        </w:rPr>
        <w:t>remove or minimise disadvantages suffered by persons who share a relevant protected characteristic that are connected to that characteristic;</w:t>
      </w:r>
    </w:p>
    <w:p w14:paraId="4F105CCF" w14:textId="77777777" w:rsidR="00942609" w:rsidRPr="00175180" w:rsidRDefault="00942609" w:rsidP="00972118">
      <w:pPr>
        <w:ind w:left="1985" w:right="793" w:hanging="567"/>
        <w:jc w:val="both"/>
        <w:rPr>
          <w:color w:val="000000"/>
        </w:rPr>
      </w:pPr>
    </w:p>
    <w:p w14:paraId="41C552E8" w14:textId="77777777" w:rsidR="00942609" w:rsidRPr="00175180" w:rsidRDefault="00942609" w:rsidP="00972118">
      <w:pPr>
        <w:ind w:left="1985" w:right="793" w:hanging="567"/>
        <w:jc w:val="both"/>
        <w:rPr>
          <w:color w:val="000000"/>
        </w:rPr>
      </w:pPr>
      <w:r w:rsidRPr="00175180">
        <w:rPr>
          <w:color w:val="000000"/>
        </w:rPr>
        <w:t xml:space="preserve">(b) </w:t>
      </w:r>
      <w:r>
        <w:rPr>
          <w:color w:val="000000"/>
        </w:rPr>
        <w:tab/>
      </w:r>
      <w:r w:rsidRPr="00175180">
        <w:rPr>
          <w:color w:val="000000"/>
        </w:rPr>
        <w:t>take steps to meet the needs of persons who share a relevant protected characteristic that are different from the needs of persons who do not share it;</w:t>
      </w:r>
    </w:p>
    <w:p w14:paraId="4A0A62BA" w14:textId="77777777" w:rsidR="00942609" w:rsidRPr="00175180" w:rsidRDefault="00942609" w:rsidP="00972118">
      <w:pPr>
        <w:ind w:left="1985" w:right="793" w:hanging="567"/>
        <w:jc w:val="both"/>
        <w:rPr>
          <w:color w:val="000000"/>
        </w:rPr>
      </w:pPr>
    </w:p>
    <w:p w14:paraId="0B7A4840" w14:textId="77777777" w:rsidR="00942609" w:rsidRPr="00175180" w:rsidRDefault="00942609" w:rsidP="00972118">
      <w:pPr>
        <w:ind w:left="1985" w:right="793" w:hanging="567"/>
        <w:jc w:val="both"/>
        <w:rPr>
          <w:color w:val="000000"/>
        </w:rPr>
      </w:pPr>
      <w:r w:rsidRPr="00175180">
        <w:rPr>
          <w:color w:val="000000"/>
        </w:rPr>
        <w:t xml:space="preserve">(c) </w:t>
      </w:r>
      <w:r>
        <w:rPr>
          <w:color w:val="000000"/>
        </w:rPr>
        <w:tab/>
      </w:r>
      <w:r w:rsidRPr="00175180">
        <w:rPr>
          <w:color w:val="000000"/>
        </w:rPr>
        <w:t>encourage persons who share a relevant protected characteristic to participate in public life or in any other activity in which participation by such persons is disproportionately low.</w:t>
      </w:r>
    </w:p>
    <w:p w14:paraId="6D326815" w14:textId="77777777" w:rsidR="00942609" w:rsidRPr="00175180" w:rsidRDefault="00942609" w:rsidP="00972118">
      <w:pPr>
        <w:ind w:left="1418" w:right="793"/>
        <w:jc w:val="both"/>
        <w:rPr>
          <w:color w:val="000000"/>
        </w:rPr>
      </w:pPr>
    </w:p>
    <w:p w14:paraId="41CFED9B" w14:textId="77777777" w:rsidR="00942609" w:rsidRPr="00175180" w:rsidRDefault="00942609" w:rsidP="00972118">
      <w:pPr>
        <w:ind w:left="1418" w:right="793"/>
        <w:jc w:val="both"/>
        <w:rPr>
          <w:color w:val="000000"/>
        </w:rPr>
      </w:pPr>
      <w:r w:rsidRPr="00175180">
        <w:rPr>
          <w:color w:val="000000"/>
        </w:rPr>
        <w:t xml:space="preserve">(4) </w:t>
      </w:r>
      <w:r>
        <w:rPr>
          <w:color w:val="000000"/>
        </w:rPr>
        <w:t xml:space="preserve">   </w:t>
      </w:r>
      <w:r w:rsidRPr="00175180">
        <w:rPr>
          <w:color w:val="000000"/>
        </w:rPr>
        <w:t>The steps involved in meeting the needs of disabled persons that are different from the needs of persons who are not disabled include, in particular, steps to take account of disabled persons’ disabilities.</w:t>
      </w:r>
    </w:p>
    <w:p w14:paraId="60DB3670" w14:textId="77777777" w:rsidR="00942609" w:rsidRPr="00175180" w:rsidRDefault="00942609" w:rsidP="00972118">
      <w:pPr>
        <w:ind w:left="1418" w:right="793"/>
        <w:jc w:val="both"/>
        <w:rPr>
          <w:color w:val="000000"/>
        </w:rPr>
      </w:pPr>
    </w:p>
    <w:p w14:paraId="73715DFC" w14:textId="7FAF576A" w:rsidR="00942609" w:rsidRPr="00175180" w:rsidRDefault="00942609" w:rsidP="00972118">
      <w:pPr>
        <w:ind w:left="1418" w:right="793"/>
        <w:jc w:val="both"/>
        <w:rPr>
          <w:color w:val="000000"/>
        </w:rPr>
      </w:pPr>
      <w:r w:rsidRPr="00175180">
        <w:rPr>
          <w:color w:val="000000"/>
        </w:rPr>
        <w:t>(5)</w:t>
      </w:r>
      <w:r w:rsidR="00590126">
        <w:rPr>
          <w:color w:val="000000"/>
        </w:rPr>
        <w:t xml:space="preserve">-(6)  </w:t>
      </w:r>
      <w:r w:rsidR="00493120">
        <w:rPr>
          <w:color w:val="000000"/>
        </w:rPr>
        <w:t>…</w:t>
      </w:r>
    </w:p>
    <w:p w14:paraId="5F2F8840" w14:textId="77777777" w:rsidR="00942609" w:rsidRPr="00175180" w:rsidRDefault="00942609" w:rsidP="00972118">
      <w:pPr>
        <w:ind w:left="1418" w:right="793"/>
        <w:jc w:val="both"/>
        <w:rPr>
          <w:color w:val="000000"/>
        </w:rPr>
      </w:pPr>
    </w:p>
    <w:p w14:paraId="3D8AFB42" w14:textId="767D5C07" w:rsidR="00942609" w:rsidRDefault="00942609" w:rsidP="00972118">
      <w:pPr>
        <w:ind w:left="1418" w:right="793"/>
        <w:jc w:val="both"/>
        <w:rPr>
          <w:color w:val="000000"/>
        </w:rPr>
      </w:pPr>
      <w:r w:rsidRPr="00175180">
        <w:rPr>
          <w:color w:val="000000"/>
        </w:rPr>
        <w:t xml:space="preserve">(7) </w:t>
      </w:r>
      <w:r w:rsidR="00841E70">
        <w:rPr>
          <w:color w:val="000000"/>
        </w:rPr>
        <w:t xml:space="preserve">   </w:t>
      </w:r>
      <w:r w:rsidRPr="00175180">
        <w:rPr>
          <w:color w:val="000000"/>
        </w:rPr>
        <w:t>The relevant protected characteristics are –</w:t>
      </w:r>
    </w:p>
    <w:p w14:paraId="639C5E76" w14:textId="77777777" w:rsidR="00841E70" w:rsidRPr="00175180" w:rsidRDefault="00841E70" w:rsidP="00972118">
      <w:pPr>
        <w:ind w:left="1418" w:right="793"/>
        <w:jc w:val="both"/>
        <w:rPr>
          <w:color w:val="000000"/>
        </w:rPr>
      </w:pPr>
    </w:p>
    <w:p w14:paraId="17D5DE0F" w14:textId="1BDFE232" w:rsidR="00942609" w:rsidRDefault="00590126" w:rsidP="00972118">
      <w:pPr>
        <w:ind w:left="1985" w:right="794"/>
        <w:jc w:val="both"/>
        <w:rPr>
          <w:color w:val="000000"/>
        </w:rPr>
      </w:pPr>
      <w:r>
        <w:rPr>
          <w:color w:val="000000"/>
        </w:rPr>
        <w:t>…</w:t>
      </w:r>
      <w:r w:rsidR="00942609" w:rsidRPr="00175180">
        <w:rPr>
          <w:color w:val="000000"/>
        </w:rPr>
        <w:t>;</w:t>
      </w:r>
    </w:p>
    <w:p w14:paraId="02B49914" w14:textId="77777777" w:rsidR="00942609" w:rsidRDefault="00942609" w:rsidP="00972118">
      <w:pPr>
        <w:ind w:left="1985" w:right="794"/>
        <w:jc w:val="both"/>
        <w:rPr>
          <w:color w:val="000000"/>
        </w:rPr>
      </w:pPr>
      <w:r w:rsidRPr="00175180">
        <w:rPr>
          <w:color w:val="000000"/>
        </w:rPr>
        <w:t>disability;</w:t>
      </w:r>
    </w:p>
    <w:p w14:paraId="65614D82" w14:textId="20C73361" w:rsidR="00942609" w:rsidRPr="00175180" w:rsidRDefault="00590126" w:rsidP="00972118">
      <w:pPr>
        <w:ind w:left="1985" w:right="794"/>
        <w:jc w:val="both"/>
        <w:rPr>
          <w:color w:val="000000"/>
        </w:rPr>
      </w:pPr>
      <w:r>
        <w:rPr>
          <w:color w:val="000000"/>
        </w:rPr>
        <w:t>…</w:t>
      </w:r>
      <w:r w:rsidR="00942609" w:rsidRPr="00175180">
        <w:rPr>
          <w:color w:val="000000"/>
        </w:rPr>
        <w:t>;</w:t>
      </w:r>
    </w:p>
    <w:p w14:paraId="291D17A4" w14:textId="46E124CC" w:rsidR="00942609" w:rsidRDefault="00942609" w:rsidP="00972118">
      <w:pPr>
        <w:ind w:left="1985" w:right="794"/>
        <w:rPr>
          <w:color w:val="000000"/>
        </w:rPr>
      </w:pPr>
      <w:r w:rsidRPr="00175180">
        <w:rPr>
          <w:color w:val="000000"/>
        </w:rPr>
        <w:t>race;</w:t>
      </w:r>
    </w:p>
    <w:p w14:paraId="658535F2" w14:textId="4FE0EBA6" w:rsidR="00942609" w:rsidRPr="00175180" w:rsidRDefault="00590126" w:rsidP="00972118">
      <w:pPr>
        <w:ind w:left="1985" w:right="794"/>
        <w:rPr>
          <w:color w:val="000000"/>
        </w:rPr>
      </w:pPr>
      <w:r>
        <w:rPr>
          <w:color w:val="000000"/>
        </w:rPr>
        <w:t>…</w:t>
      </w:r>
      <w:r w:rsidR="00942609" w:rsidRPr="00175180">
        <w:rPr>
          <w:color w:val="000000"/>
        </w:rPr>
        <w:t>.”</w:t>
      </w:r>
    </w:p>
    <w:p w14:paraId="5EDAC9D6" w14:textId="03465262" w:rsidR="00156459" w:rsidRDefault="00156459" w:rsidP="00972118">
      <w:pPr>
        <w:pStyle w:val="ParaLevel1"/>
        <w:numPr>
          <w:ilvl w:val="0"/>
          <w:numId w:val="0"/>
        </w:numPr>
        <w:ind w:left="720"/>
        <w:rPr>
          <w:szCs w:val="24"/>
        </w:rPr>
      </w:pPr>
      <w:r>
        <w:rPr>
          <w:szCs w:val="24"/>
        </w:rPr>
        <w:t>I will refer to the three “</w:t>
      </w:r>
      <w:r w:rsidR="00BA3042">
        <w:rPr>
          <w:szCs w:val="24"/>
        </w:rPr>
        <w:t xml:space="preserve">needs” identified at (a)-(c) under subsection (1) as “the </w:t>
      </w:r>
      <w:r w:rsidR="004E4869">
        <w:rPr>
          <w:szCs w:val="24"/>
        </w:rPr>
        <w:t>specified</w:t>
      </w:r>
      <w:r w:rsidR="00BA3042">
        <w:rPr>
          <w:szCs w:val="24"/>
        </w:rPr>
        <w:t xml:space="preserve"> considerations”.</w:t>
      </w:r>
    </w:p>
    <w:p w14:paraId="7910FC8D" w14:textId="5BD762B9" w:rsidR="00A41B8A" w:rsidRDefault="00A41B8A" w:rsidP="00972118">
      <w:pPr>
        <w:pStyle w:val="ParaLevel1"/>
        <w:rPr>
          <w:szCs w:val="24"/>
        </w:rPr>
      </w:pPr>
      <w:r w:rsidRPr="009D6E2C">
        <w:rPr>
          <w:szCs w:val="24"/>
        </w:rPr>
        <w:t xml:space="preserve">It is common ground in these proceedings that </w:t>
      </w:r>
      <w:r w:rsidR="00294E1D">
        <w:rPr>
          <w:szCs w:val="24"/>
        </w:rPr>
        <w:t xml:space="preserve">both the Headteacher </w:t>
      </w:r>
      <w:r w:rsidRPr="009D6E2C">
        <w:rPr>
          <w:szCs w:val="24"/>
        </w:rPr>
        <w:t xml:space="preserve">in exercising the power to exclude </w:t>
      </w:r>
      <w:r w:rsidR="003D699D">
        <w:rPr>
          <w:szCs w:val="24"/>
        </w:rPr>
        <w:t>TZB</w:t>
      </w:r>
      <w:r w:rsidRPr="009D6E2C">
        <w:rPr>
          <w:szCs w:val="24"/>
        </w:rPr>
        <w:t xml:space="preserve"> </w:t>
      </w:r>
      <w:r w:rsidR="00A76D26">
        <w:rPr>
          <w:szCs w:val="24"/>
        </w:rPr>
        <w:t xml:space="preserve">and the </w:t>
      </w:r>
      <w:r w:rsidR="00D710A6">
        <w:rPr>
          <w:szCs w:val="24"/>
        </w:rPr>
        <w:t>GDC</w:t>
      </w:r>
      <w:r w:rsidR="00A76D26">
        <w:rPr>
          <w:szCs w:val="24"/>
        </w:rPr>
        <w:t xml:space="preserve"> in deciding whether to reinstate </w:t>
      </w:r>
      <w:r w:rsidR="003D699D">
        <w:rPr>
          <w:szCs w:val="24"/>
        </w:rPr>
        <w:t xml:space="preserve">him </w:t>
      </w:r>
      <w:r w:rsidR="00D710A6">
        <w:rPr>
          <w:szCs w:val="24"/>
        </w:rPr>
        <w:t>we</w:t>
      </w:r>
      <w:r w:rsidR="00A76D26">
        <w:rPr>
          <w:szCs w:val="24"/>
        </w:rPr>
        <w:t xml:space="preserve">re </w:t>
      </w:r>
      <w:r w:rsidRPr="009D6E2C">
        <w:rPr>
          <w:szCs w:val="24"/>
        </w:rPr>
        <w:t>subject to the duty in subsection (</w:t>
      </w:r>
      <w:r w:rsidR="00A76D26">
        <w:rPr>
          <w:szCs w:val="24"/>
        </w:rPr>
        <w:t>1</w:t>
      </w:r>
      <w:r w:rsidRPr="009D6E2C">
        <w:rPr>
          <w:szCs w:val="24"/>
        </w:rPr>
        <w:t>)</w:t>
      </w:r>
      <w:r w:rsidR="00EA7973">
        <w:rPr>
          <w:szCs w:val="24"/>
        </w:rPr>
        <w:t xml:space="preserve">.  In the case of </w:t>
      </w:r>
      <w:r w:rsidR="00426536">
        <w:rPr>
          <w:szCs w:val="24"/>
        </w:rPr>
        <w:t xml:space="preserve">the </w:t>
      </w:r>
      <w:r w:rsidR="00810423">
        <w:rPr>
          <w:szCs w:val="24"/>
        </w:rPr>
        <w:t>G</w:t>
      </w:r>
      <w:r w:rsidR="00D710A6">
        <w:rPr>
          <w:szCs w:val="24"/>
        </w:rPr>
        <w:t>DC</w:t>
      </w:r>
      <w:r w:rsidR="00EA7973">
        <w:rPr>
          <w:szCs w:val="24"/>
        </w:rPr>
        <w:t>, that is</w:t>
      </w:r>
      <w:r w:rsidR="00426536">
        <w:rPr>
          <w:szCs w:val="24"/>
        </w:rPr>
        <w:t xml:space="preserve"> because the</w:t>
      </w:r>
      <w:r w:rsidR="00D710A6">
        <w:rPr>
          <w:szCs w:val="24"/>
        </w:rPr>
        <w:t xml:space="preserve"> Governors</w:t>
      </w:r>
      <w:r w:rsidR="00426536">
        <w:rPr>
          <w:szCs w:val="24"/>
        </w:rPr>
        <w:t xml:space="preserve"> are a public authority</w:t>
      </w:r>
      <w:r w:rsidR="00EA7973">
        <w:rPr>
          <w:szCs w:val="24"/>
        </w:rPr>
        <w:t xml:space="preserve">, </w:t>
      </w:r>
      <w:r w:rsidR="00426536">
        <w:rPr>
          <w:szCs w:val="24"/>
        </w:rPr>
        <w:t xml:space="preserve">and </w:t>
      </w:r>
      <w:r w:rsidR="00EA7973">
        <w:rPr>
          <w:szCs w:val="24"/>
        </w:rPr>
        <w:t xml:space="preserve">in </w:t>
      </w:r>
      <w:r w:rsidR="00426536">
        <w:rPr>
          <w:szCs w:val="24"/>
        </w:rPr>
        <w:t xml:space="preserve">the </w:t>
      </w:r>
      <w:r w:rsidR="00EA7973">
        <w:rPr>
          <w:szCs w:val="24"/>
        </w:rPr>
        <w:t xml:space="preserve">case of </w:t>
      </w:r>
      <w:r w:rsidR="0066080B">
        <w:rPr>
          <w:szCs w:val="24"/>
        </w:rPr>
        <w:t xml:space="preserve">the </w:t>
      </w:r>
      <w:r w:rsidR="00426536">
        <w:rPr>
          <w:szCs w:val="24"/>
        </w:rPr>
        <w:t>Headteacher</w:t>
      </w:r>
      <w:r w:rsidR="00066D41">
        <w:rPr>
          <w:szCs w:val="24"/>
        </w:rPr>
        <w:t xml:space="preserve"> </w:t>
      </w:r>
      <w:r w:rsidR="00426536">
        <w:rPr>
          <w:szCs w:val="24"/>
        </w:rPr>
        <w:t xml:space="preserve">because </w:t>
      </w:r>
      <w:r w:rsidR="006E3D38">
        <w:rPr>
          <w:szCs w:val="24"/>
        </w:rPr>
        <w:t xml:space="preserve">in deciding to exclude TZB </w:t>
      </w:r>
      <w:r w:rsidR="00426536">
        <w:rPr>
          <w:szCs w:val="24"/>
        </w:rPr>
        <w:t xml:space="preserve">she </w:t>
      </w:r>
      <w:r w:rsidR="00810423">
        <w:rPr>
          <w:szCs w:val="24"/>
        </w:rPr>
        <w:t>was exercising a public function and accordingly falls within subsection (2).</w:t>
      </w:r>
    </w:p>
    <w:p w14:paraId="30A9C74C" w14:textId="1CEF41DF" w:rsidR="008C25D2" w:rsidRPr="00FC3BF3" w:rsidRDefault="00C925AC" w:rsidP="00972118">
      <w:pPr>
        <w:pStyle w:val="ParaLevel1"/>
        <w:rPr>
          <w:szCs w:val="24"/>
        </w:rPr>
      </w:pPr>
      <w:r>
        <w:t>Since we are in this case concerned with a decision affecting an individual pupil</w:t>
      </w:r>
      <w:r w:rsidR="000C7206">
        <w:t xml:space="preserve"> it is important to emphasise that we are not concerned with an allegation that th</w:t>
      </w:r>
      <w:r w:rsidR="00371719">
        <w:t xml:space="preserve">at decision involved discrimination against TZB on the grounds of his </w:t>
      </w:r>
      <w:r w:rsidR="005E74C9">
        <w:t>r</w:t>
      </w:r>
      <w:r w:rsidR="00371719">
        <w:t>ace</w:t>
      </w:r>
      <w:r w:rsidR="005E74C9">
        <w:t xml:space="preserve"> or any other protected characteristic.</w:t>
      </w:r>
      <w:r w:rsidR="00371719">
        <w:t xml:space="preserve">  </w:t>
      </w:r>
      <w:r w:rsidR="00444C1B">
        <w:t xml:space="preserve">The exclusion of a pupil </w:t>
      </w:r>
      <w:r w:rsidR="004F5227">
        <w:t xml:space="preserve">on such a ground is unlawful by virtue of </w:t>
      </w:r>
      <w:r w:rsidR="00132C62" w:rsidRPr="00FC3BF3">
        <w:rPr>
          <w:szCs w:val="24"/>
        </w:rPr>
        <w:t xml:space="preserve">section 85 (2) (e) </w:t>
      </w:r>
      <w:r w:rsidR="000509A3">
        <w:rPr>
          <w:szCs w:val="24"/>
        </w:rPr>
        <w:t>of the Act, which falls under Part 6 (“Education”)</w:t>
      </w:r>
      <w:r w:rsidR="00D146F8">
        <w:rPr>
          <w:szCs w:val="24"/>
        </w:rPr>
        <w:t>,</w:t>
      </w:r>
      <w:r w:rsidR="00972118">
        <w:rPr>
          <w:szCs w:val="24"/>
        </w:rPr>
        <w:t xml:space="preserve"> </w:t>
      </w:r>
      <w:r w:rsidR="00D146F8">
        <w:rPr>
          <w:szCs w:val="24"/>
        </w:rPr>
        <w:t xml:space="preserve">and could be </w:t>
      </w:r>
      <w:r w:rsidR="00965963">
        <w:rPr>
          <w:szCs w:val="24"/>
        </w:rPr>
        <w:t>challenged</w:t>
      </w:r>
      <w:r w:rsidR="00D146F8">
        <w:rPr>
          <w:szCs w:val="24"/>
        </w:rPr>
        <w:t xml:space="preserve"> </w:t>
      </w:r>
      <w:r w:rsidR="00651606">
        <w:rPr>
          <w:szCs w:val="24"/>
        </w:rPr>
        <w:t xml:space="preserve">by </w:t>
      </w:r>
      <w:r w:rsidR="003D699D">
        <w:rPr>
          <w:szCs w:val="24"/>
        </w:rPr>
        <w:t>proceedings</w:t>
      </w:r>
      <w:r w:rsidR="00651606">
        <w:rPr>
          <w:szCs w:val="24"/>
        </w:rPr>
        <w:t xml:space="preserve"> </w:t>
      </w:r>
      <w:r w:rsidR="00D146F8">
        <w:rPr>
          <w:szCs w:val="24"/>
        </w:rPr>
        <w:t xml:space="preserve">in the County Court.  </w:t>
      </w:r>
      <w:r w:rsidR="00D85B00">
        <w:rPr>
          <w:szCs w:val="24"/>
        </w:rPr>
        <w:t xml:space="preserve">No such </w:t>
      </w:r>
      <w:r w:rsidR="003D699D">
        <w:rPr>
          <w:szCs w:val="24"/>
        </w:rPr>
        <w:t>proceedings</w:t>
      </w:r>
      <w:r w:rsidR="00D85B00">
        <w:rPr>
          <w:szCs w:val="24"/>
        </w:rPr>
        <w:t xml:space="preserve"> been brought by TZB.  </w:t>
      </w:r>
      <w:r w:rsidR="00F76A44" w:rsidRPr="00FC3BF3">
        <w:rPr>
          <w:szCs w:val="24"/>
        </w:rPr>
        <w:t xml:space="preserve">The </w:t>
      </w:r>
      <w:r w:rsidR="00F16F15">
        <w:rPr>
          <w:szCs w:val="24"/>
        </w:rPr>
        <w:t>purpose</w:t>
      </w:r>
      <w:r w:rsidR="00F76A44" w:rsidRPr="00FC3BF3">
        <w:rPr>
          <w:szCs w:val="24"/>
        </w:rPr>
        <w:t xml:space="preserve"> of Part 11 is </w:t>
      </w:r>
      <w:r w:rsidR="00F349A2" w:rsidRPr="00FC3BF3">
        <w:rPr>
          <w:szCs w:val="24"/>
        </w:rPr>
        <w:t xml:space="preserve">not to reproduce the </w:t>
      </w:r>
      <w:r w:rsidR="00EC039E" w:rsidRPr="00FC3BF3">
        <w:rPr>
          <w:szCs w:val="24"/>
        </w:rPr>
        <w:t xml:space="preserve">obligations </w:t>
      </w:r>
      <w:r w:rsidR="009B6582">
        <w:rPr>
          <w:szCs w:val="24"/>
        </w:rPr>
        <w:t xml:space="preserve">to individuals arising under the earlier Parts of the Act </w:t>
      </w:r>
      <w:r w:rsidR="00EC039E" w:rsidRPr="00FC3BF3">
        <w:rPr>
          <w:szCs w:val="24"/>
        </w:rPr>
        <w:t>but</w:t>
      </w:r>
      <w:r w:rsidR="00BF50DA">
        <w:rPr>
          <w:szCs w:val="24"/>
        </w:rPr>
        <w:t xml:space="preserve"> </w:t>
      </w:r>
      <w:r w:rsidR="00EC039E" w:rsidRPr="00FC3BF3">
        <w:rPr>
          <w:szCs w:val="24"/>
        </w:rPr>
        <w:t xml:space="preserve">to </w:t>
      </w:r>
      <w:r w:rsidR="000E268D" w:rsidRPr="00FC3BF3">
        <w:rPr>
          <w:szCs w:val="24"/>
        </w:rPr>
        <w:t>require public sector decision</w:t>
      </w:r>
      <w:r w:rsidR="003C3335" w:rsidRPr="00FC3BF3">
        <w:rPr>
          <w:szCs w:val="24"/>
        </w:rPr>
        <w:t>-</w:t>
      </w:r>
      <w:r w:rsidR="000E268D" w:rsidRPr="00FC3BF3">
        <w:rPr>
          <w:szCs w:val="24"/>
        </w:rPr>
        <w:t xml:space="preserve">makers to </w:t>
      </w:r>
      <w:r w:rsidR="00885331" w:rsidRPr="00FC3BF3">
        <w:rPr>
          <w:szCs w:val="24"/>
        </w:rPr>
        <w:t xml:space="preserve">have regard to the specified </w:t>
      </w:r>
      <w:r w:rsidR="003C3335" w:rsidRPr="00FC3BF3">
        <w:rPr>
          <w:szCs w:val="24"/>
        </w:rPr>
        <w:t>considerations</w:t>
      </w:r>
      <w:r w:rsidR="00885331" w:rsidRPr="00FC3BF3">
        <w:rPr>
          <w:szCs w:val="24"/>
        </w:rPr>
        <w:t xml:space="preserve"> in their decision-making</w:t>
      </w:r>
      <w:r w:rsidR="00F9104F">
        <w:rPr>
          <w:szCs w:val="24"/>
        </w:rPr>
        <w:t>.</w:t>
      </w:r>
      <w:r w:rsidR="007D33ED">
        <w:rPr>
          <w:szCs w:val="24"/>
        </w:rPr>
        <w:t xml:space="preserve">  </w:t>
      </w:r>
      <w:r w:rsidR="00F22AA3">
        <w:rPr>
          <w:szCs w:val="24"/>
        </w:rPr>
        <w:t>Th</w:t>
      </w:r>
      <w:r w:rsidR="008D3E23">
        <w:rPr>
          <w:szCs w:val="24"/>
        </w:rPr>
        <w:t xml:space="preserve">ough in principle it </w:t>
      </w:r>
      <w:r w:rsidR="009F0A7D">
        <w:rPr>
          <w:szCs w:val="24"/>
        </w:rPr>
        <w:t>applies</w:t>
      </w:r>
      <w:r w:rsidR="008D3E23">
        <w:rPr>
          <w:szCs w:val="24"/>
        </w:rPr>
        <w:t xml:space="preserve"> to </w:t>
      </w:r>
      <w:r w:rsidR="009F0A7D">
        <w:rPr>
          <w:szCs w:val="24"/>
        </w:rPr>
        <w:t>all decisions, th</w:t>
      </w:r>
      <w:r w:rsidR="00F22AA3">
        <w:rPr>
          <w:szCs w:val="24"/>
        </w:rPr>
        <w:t xml:space="preserve">e </w:t>
      </w:r>
      <w:r w:rsidR="00492D02">
        <w:rPr>
          <w:szCs w:val="24"/>
        </w:rPr>
        <w:t xml:space="preserve">natural focus </w:t>
      </w:r>
      <w:r w:rsidR="00F22AA3">
        <w:rPr>
          <w:szCs w:val="24"/>
        </w:rPr>
        <w:t xml:space="preserve">of section 149 </w:t>
      </w:r>
      <w:r w:rsidR="00492D02">
        <w:rPr>
          <w:szCs w:val="24"/>
        </w:rPr>
        <w:t xml:space="preserve">is on </w:t>
      </w:r>
      <w:r w:rsidR="00AD0BF1">
        <w:rPr>
          <w:szCs w:val="24"/>
        </w:rPr>
        <w:t xml:space="preserve">policy or other </w:t>
      </w:r>
      <w:r w:rsidR="00492D02">
        <w:rPr>
          <w:szCs w:val="24"/>
        </w:rPr>
        <w:t>d</w:t>
      </w:r>
      <w:r w:rsidR="00F72961">
        <w:rPr>
          <w:szCs w:val="24"/>
        </w:rPr>
        <w:t xml:space="preserve">ecisions </w:t>
      </w:r>
      <w:bookmarkStart w:id="11" w:name="_Hlk190075302"/>
      <w:r w:rsidR="00781F02">
        <w:rPr>
          <w:szCs w:val="24"/>
        </w:rPr>
        <w:t>of general application</w:t>
      </w:r>
      <w:r w:rsidR="00FF1FD3">
        <w:rPr>
          <w:szCs w:val="24"/>
        </w:rPr>
        <w:t>.</w:t>
      </w:r>
    </w:p>
    <w:bookmarkEnd w:id="11"/>
    <w:p w14:paraId="764B3372" w14:textId="4382946A" w:rsidR="00E439CA" w:rsidRPr="00E439CA" w:rsidRDefault="00E439CA" w:rsidP="00972118">
      <w:pPr>
        <w:pStyle w:val="ParaLevel1"/>
        <w:numPr>
          <w:ilvl w:val="0"/>
          <w:numId w:val="0"/>
        </w:numPr>
        <w:rPr>
          <w:szCs w:val="24"/>
          <w:u w:val="single"/>
        </w:rPr>
      </w:pPr>
      <w:r>
        <w:rPr>
          <w:szCs w:val="24"/>
          <w:u w:val="single"/>
        </w:rPr>
        <w:t>THE GUIDANCE</w:t>
      </w:r>
    </w:p>
    <w:p w14:paraId="3437729E" w14:textId="76DDAA0C" w:rsidR="00CC2AD8" w:rsidRDefault="00CC2AD8" w:rsidP="00972118">
      <w:pPr>
        <w:pStyle w:val="ParaLevel1"/>
      </w:pPr>
      <w:r>
        <w:t xml:space="preserve">I </w:t>
      </w:r>
      <w:r w:rsidR="00626F59">
        <w:t xml:space="preserve">set out </w:t>
      </w:r>
      <w:r w:rsidR="00B72000">
        <w:t xml:space="preserve">in the following </w:t>
      </w:r>
      <w:r w:rsidR="00D0076B">
        <w:t>paragraphs</w:t>
      </w:r>
      <w:r w:rsidR="00B72000">
        <w:t xml:space="preserve"> the parts of the Guidance </w:t>
      </w:r>
      <w:r w:rsidR="00D0076B">
        <w:t xml:space="preserve">relating to the PSED and </w:t>
      </w:r>
      <w:r w:rsidR="00995D3E">
        <w:t xml:space="preserve">to some other general matters.  In considering </w:t>
      </w:r>
      <w:r w:rsidR="00C970E8">
        <w:t>any such extracts it is important to bear in mind the drafting convention</w:t>
      </w:r>
      <w:r w:rsidR="00715070">
        <w:t>,</w:t>
      </w:r>
      <w:r w:rsidR="00C970E8">
        <w:t xml:space="preserve"> explained in the </w:t>
      </w:r>
      <w:r>
        <w:t>glossary to the Guidance</w:t>
      </w:r>
      <w:r w:rsidR="00715070">
        <w:t>,</w:t>
      </w:r>
      <w:r>
        <w:t xml:space="preserve"> </w:t>
      </w:r>
      <w:r w:rsidR="00A96A7D">
        <w:t>that</w:t>
      </w:r>
      <w:r>
        <w:t xml:space="preserve"> the word “must” is </w:t>
      </w:r>
      <w:r w:rsidR="00A96A7D">
        <w:t>used</w:t>
      </w:r>
      <w:r>
        <w:t xml:space="preserve"> to connote a legal obligation, whereas </w:t>
      </w:r>
      <w:r w:rsidR="00A96A7D">
        <w:t>the wor</w:t>
      </w:r>
      <w:r w:rsidR="005C6409">
        <w:t xml:space="preserve">d </w:t>
      </w:r>
      <w:r>
        <w:t>“should” connotes good practice.</w:t>
      </w:r>
    </w:p>
    <w:p w14:paraId="3E2B4C35" w14:textId="52C281D0" w:rsidR="005C6409" w:rsidRPr="00766AEE" w:rsidRDefault="00766AEE" w:rsidP="00972118">
      <w:pPr>
        <w:pStyle w:val="ParaLevel1"/>
        <w:numPr>
          <w:ilvl w:val="0"/>
          <w:numId w:val="0"/>
        </w:numPr>
        <w:rPr>
          <w:u w:val="single"/>
        </w:rPr>
      </w:pPr>
      <w:r w:rsidRPr="00766AEE">
        <w:rPr>
          <w:u w:val="single"/>
        </w:rPr>
        <w:t>Section 2</w:t>
      </w:r>
    </w:p>
    <w:p w14:paraId="50D23615" w14:textId="5C9CA2FB" w:rsidR="0011020B" w:rsidRPr="0011020B" w:rsidRDefault="00192C8E" w:rsidP="00972118">
      <w:pPr>
        <w:pStyle w:val="ParaLevel1"/>
        <w:rPr>
          <w:rFonts w:asciiTheme="majorBidi" w:hAnsiTheme="majorBidi" w:cstheme="majorBidi"/>
          <w:szCs w:val="24"/>
        </w:rPr>
      </w:pPr>
      <w:r>
        <w:rPr>
          <w:szCs w:val="24"/>
        </w:rPr>
        <w:t>Section 2 of the Guidance contains a number of bulleted “Key points”.</w:t>
      </w:r>
      <w:r w:rsidR="000B5963">
        <w:rPr>
          <w:szCs w:val="24"/>
        </w:rPr>
        <w:t xml:space="preserve">  I need only </w:t>
      </w:r>
      <w:r w:rsidR="0011020B">
        <w:rPr>
          <w:szCs w:val="24"/>
        </w:rPr>
        <w:t>set out the following:</w:t>
      </w:r>
    </w:p>
    <w:p w14:paraId="42CA9647" w14:textId="5CB50927" w:rsidR="00FB15E1" w:rsidRDefault="00FB15E1" w:rsidP="00972118">
      <w:pPr>
        <w:pStyle w:val="ParaLevel1"/>
        <w:numPr>
          <w:ilvl w:val="0"/>
          <w:numId w:val="0"/>
        </w:numPr>
        <w:ind w:left="1418" w:right="793"/>
        <w:rPr>
          <w:szCs w:val="24"/>
        </w:rPr>
      </w:pPr>
      <w:r>
        <w:rPr>
          <w:szCs w:val="24"/>
        </w:rPr>
        <w:t>“</w:t>
      </w:r>
      <w:r w:rsidRPr="00FB15E1">
        <w:rPr>
          <w:szCs w:val="24"/>
        </w:rPr>
        <w:t>•</w:t>
      </w:r>
      <w:r w:rsidR="00986E0C">
        <w:rPr>
          <w:szCs w:val="24"/>
        </w:rPr>
        <w:tab/>
      </w:r>
      <w:r w:rsidRPr="00FB15E1">
        <w:rPr>
          <w:szCs w:val="24"/>
        </w:rPr>
        <w:t xml:space="preserve">Good discipline in schools is essential to ensure that all pupils can benefit from the opportunities provided by education. The Government supports head teachers in using exclusion as a sanction where it is warranted. However, </w:t>
      </w:r>
      <w:r w:rsidRPr="00FB15E1">
        <w:rPr>
          <w:i/>
          <w:iCs/>
          <w:szCs w:val="24"/>
        </w:rPr>
        <w:t>permanent exclusion should only be used as a last resort, in response to a serious breach or persistent breaches of the school</w:t>
      </w:r>
      <w:r w:rsidR="00BD36A4">
        <w:rPr>
          <w:i/>
          <w:iCs/>
          <w:szCs w:val="24"/>
        </w:rPr>
        <w:t>’</w:t>
      </w:r>
      <w:r w:rsidRPr="00FB15E1">
        <w:rPr>
          <w:i/>
          <w:iCs/>
          <w:szCs w:val="24"/>
        </w:rPr>
        <w:t>s behaviour policy; and where allowing the pupil to remain in school would seriously harm the education or welfare of the pupil or others in the school</w:t>
      </w:r>
      <w:r>
        <w:rPr>
          <w:szCs w:val="24"/>
        </w:rPr>
        <w:t xml:space="preserve"> [emphasis supplied].</w:t>
      </w:r>
    </w:p>
    <w:p w14:paraId="58EFBFB5" w14:textId="3548D700" w:rsidR="00FB15E1" w:rsidRDefault="00FB15E1" w:rsidP="00972118">
      <w:pPr>
        <w:pStyle w:val="ParaLevel1"/>
        <w:numPr>
          <w:ilvl w:val="0"/>
          <w:numId w:val="2"/>
        </w:numPr>
        <w:ind w:left="1418" w:right="793" w:firstLine="0"/>
        <w:rPr>
          <w:szCs w:val="24"/>
        </w:rPr>
      </w:pPr>
      <w:r w:rsidRPr="00FB15E1">
        <w:rPr>
          <w:szCs w:val="24"/>
        </w:rPr>
        <w:t xml:space="preserve">The decision to exclude a pupil must be lawful, reasonable and fair. Schools have a statutory duty not to discriminate against pupils on the basis of protected characteristics, such as disability or race. Schools should give particular consideration to the fair treatment of pupils from groups who are vulnerable to exclusion.  </w:t>
      </w:r>
    </w:p>
    <w:p w14:paraId="5A273DA2" w14:textId="4422546E" w:rsidR="00037890" w:rsidRPr="006C3CC1" w:rsidRDefault="00FB15E1" w:rsidP="00972118">
      <w:pPr>
        <w:pStyle w:val="ParaLevel1"/>
        <w:numPr>
          <w:ilvl w:val="0"/>
          <w:numId w:val="0"/>
        </w:numPr>
        <w:ind w:left="1418" w:right="794"/>
        <w:rPr>
          <w:rFonts w:asciiTheme="majorBidi" w:hAnsiTheme="majorBidi" w:cstheme="majorBidi"/>
          <w:szCs w:val="24"/>
        </w:rPr>
      </w:pPr>
      <w:r w:rsidRPr="00FB15E1">
        <w:rPr>
          <w:szCs w:val="24"/>
        </w:rPr>
        <w:t xml:space="preserve">• </w:t>
      </w:r>
      <w:r w:rsidR="00986E0C">
        <w:rPr>
          <w:szCs w:val="24"/>
        </w:rPr>
        <w:tab/>
      </w:r>
      <w:r w:rsidRPr="00FB15E1">
        <w:rPr>
          <w:szCs w:val="24"/>
        </w:rPr>
        <w:t>Disruptive behaviour can be an indication of unmet needs. Where a school has concerns about a pupil’s behaviour, it should try to identify whether there are any causal factors and intervene early in order to reduce the need for a subsequent exclusion. In this situation, schools should consider whether a multi-agency assessment that goes beyond the pupil’s educational needs is required.</w:t>
      </w:r>
      <w:r>
        <w:rPr>
          <w:szCs w:val="24"/>
        </w:rPr>
        <w:t>”</w:t>
      </w:r>
      <w:r w:rsidRPr="00FB15E1">
        <w:rPr>
          <w:szCs w:val="24"/>
        </w:rPr>
        <w:t xml:space="preserve">  </w:t>
      </w:r>
      <w:r w:rsidR="00192C8E">
        <w:rPr>
          <w:szCs w:val="24"/>
        </w:rPr>
        <w:t xml:space="preserve"> </w:t>
      </w:r>
    </w:p>
    <w:p w14:paraId="5C9DB3D9" w14:textId="707CA357" w:rsidR="004E63F3" w:rsidRPr="004E63F3" w:rsidRDefault="003C73C5" w:rsidP="00972118">
      <w:pPr>
        <w:pStyle w:val="ParaLevel1"/>
        <w:numPr>
          <w:ilvl w:val="0"/>
          <w:numId w:val="0"/>
        </w:numPr>
        <w:ind w:left="720"/>
        <w:rPr>
          <w:rFonts w:asciiTheme="majorBidi" w:hAnsiTheme="majorBidi" w:cstheme="majorBidi"/>
          <w:szCs w:val="24"/>
        </w:rPr>
      </w:pPr>
      <w:r>
        <w:rPr>
          <w:rFonts w:asciiTheme="majorBidi" w:hAnsiTheme="majorBidi" w:cstheme="majorBidi"/>
          <w:szCs w:val="24"/>
        </w:rPr>
        <w:t>Th</w:t>
      </w:r>
      <w:r w:rsidR="00E136A1">
        <w:rPr>
          <w:rFonts w:asciiTheme="majorBidi" w:hAnsiTheme="majorBidi" w:cstheme="majorBidi"/>
          <w:szCs w:val="24"/>
        </w:rPr>
        <w:t>os</w:t>
      </w:r>
      <w:r>
        <w:rPr>
          <w:rFonts w:asciiTheme="majorBidi" w:hAnsiTheme="majorBidi" w:cstheme="majorBidi"/>
          <w:szCs w:val="24"/>
        </w:rPr>
        <w:t xml:space="preserve">e </w:t>
      </w:r>
      <w:r w:rsidR="00E136A1">
        <w:rPr>
          <w:rFonts w:asciiTheme="majorBidi" w:hAnsiTheme="majorBidi" w:cstheme="majorBidi"/>
          <w:szCs w:val="24"/>
        </w:rPr>
        <w:t>bullets summarise points made more fully in the following sections</w:t>
      </w:r>
      <w:r w:rsidR="00165B15">
        <w:rPr>
          <w:rFonts w:asciiTheme="majorBidi" w:hAnsiTheme="majorBidi" w:cstheme="majorBidi"/>
          <w:szCs w:val="24"/>
        </w:rPr>
        <w:t>.</w:t>
      </w:r>
    </w:p>
    <w:p w14:paraId="4ECD2295" w14:textId="49FAFAD7" w:rsidR="007B3037" w:rsidRPr="007B3037" w:rsidRDefault="007B3037" w:rsidP="00972118">
      <w:pPr>
        <w:pStyle w:val="ParaLevel1"/>
        <w:numPr>
          <w:ilvl w:val="0"/>
          <w:numId w:val="0"/>
        </w:numPr>
        <w:ind w:left="720" w:hanging="720"/>
        <w:rPr>
          <w:rFonts w:asciiTheme="majorBidi" w:hAnsiTheme="majorBidi" w:cstheme="majorBidi"/>
          <w:szCs w:val="24"/>
          <w:u w:val="single"/>
        </w:rPr>
      </w:pPr>
      <w:r>
        <w:rPr>
          <w:rFonts w:asciiTheme="majorBidi" w:hAnsiTheme="majorBidi" w:cstheme="majorBidi"/>
          <w:szCs w:val="24"/>
          <w:u w:val="single"/>
        </w:rPr>
        <w:t>Section 3</w:t>
      </w:r>
    </w:p>
    <w:p w14:paraId="23A4979C" w14:textId="5FFB8293" w:rsidR="0064246C" w:rsidRPr="0064246C" w:rsidRDefault="0018196E" w:rsidP="00972118">
      <w:pPr>
        <w:pStyle w:val="ParaLevel1"/>
        <w:rPr>
          <w:rFonts w:asciiTheme="majorBidi" w:hAnsiTheme="majorBidi" w:cstheme="majorBidi"/>
          <w:szCs w:val="24"/>
        </w:rPr>
      </w:pPr>
      <w:r>
        <w:rPr>
          <w:szCs w:val="24"/>
        </w:rPr>
        <w:t>Section 3</w:t>
      </w:r>
      <w:r w:rsidR="00E86F62">
        <w:rPr>
          <w:szCs w:val="24"/>
        </w:rPr>
        <w:t xml:space="preserve"> of the Guidance is headed “The head teacher’s power to exclude”.</w:t>
      </w:r>
      <w:r w:rsidR="00DE186B">
        <w:rPr>
          <w:szCs w:val="24"/>
        </w:rPr>
        <w:t xml:space="preserve">  It divides into </w:t>
      </w:r>
      <w:r w:rsidR="001818CD">
        <w:rPr>
          <w:szCs w:val="24"/>
        </w:rPr>
        <w:t>various</w:t>
      </w:r>
      <w:r w:rsidR="00DE186B">
        <w:rPr>
          <w:szCs w:val="24"/>
        </w:rPr>
        <w:t xml:space="preserve"> subsidiary parts.  I need </w:t>
      </w:r>
      <w:r w:rsidR="0064246C">
        <w:rPr>
          <w:szCs w:val="24"/>
        </w:rPr>
        <w:t>to refer to three of them.</w:t>
      </w:r>
    </w:p>
    <w:p w14:paraId="2E2031CE" w14:textId="32449B31" w:rsidR="006C3CC1" w:rsidRPr="00A620BA" w:rsidRDefault="00FC4870" w:rsidP="00972118">
      <w:pPr>
        <w:pStyle w:val="ParaLevel1"/>
        <w:rPr>
          <w:rFonts w:asciiTheme="majorBidi" w:hAnsiTheme="majorBidi" w:cstheme="majorBidi"/>
          <w:szCs w:val="24"/>
        </w:rPr>
      </w:pPr>
      <w:r>
        <w:rPr>
          <w:szCs w:val="24"/>
        </w:rPr>
        <w:t>Paras</w:t>
      </w:r>
      <w:r w:rsidR="0098177B">
        <w:rPr>
          <w:szCs w:val="24"/>
        </w:rPr>
        <w:t>. 1-</w:t>
      </w:r>
      <w:r w:rsidR="00273F8A">
        <w:rPr>
          <w:szCs w:val="24"/>
        </w:rPr>
        <w:t>15</w:t>
      </w:r>
      <w:r w:rsidR="0098177B">
        <w:rPr>
          <w:szCs w:val="24"/>
        </w:rPr>
        <w:t xml:space="preserve"> are headed “A guide to the law”</w:t>
      </w:r>
      <w:r w:rsidR="00AE5CFD">
        <w:rPr>
          <w:szCs w:val="24"/>
        </w:rPr>
        <w:t xml:space="preserve">.  </w:t>
      </w:r>
      <w:r w:rsidR="00177405">
        <w:rPr>
          <w:szCs w:val="24"/>
        </w:rPr>
        <w:t>P</w:t>
      </w:r>
      <w:r w:rsidR="006C3CC1">
        <w:rPr>
          <w:szCs w:val="24"/>
        </w:rPr>
        <w:t xml:space="preserve">aras. </w:t>
      </w:r>
      <w:r w:rsidR="00A620BA">
        <w:rPr>
          <w:szCs w:val="24"/>
        </w:rPr>
        <w:t>9-11</w:t>
      </w:r>
      <w:r w:rsidR="00177405">
        <w:rPr>
          <w:szCs w:val="24"/>
        </w:rPr>
        <w:t xml:space="preserve"> </w:t>
      </w:r>
      <w:r w:rsidR="00A620BA">
        <w:rPr>
          <w:szCs w:val="24"/>
        </w:rPr>
        <w:t>read:</w:t>
      </w:r>
    </w:p>
    <w:p w14:paraId="7DE46BC0" w14:textId="1CC1749B" w:rsidR="0011577B" w:rsidRDefault="00382F59" w:rsidP="00972118">
      <w:pPr>
        <w:pStyle w:val="ParaLevel1"/>
        <w:numPr>
          <w:ilvl w:val="0"/>
          <w:numId w:val="0"/>
        </w:numPr>
        <w:ind w:left="1418" w:right="793"/>
        <w:rPr>
          <w:rFonts w:asciiTheme="majorBidi" w:hAnsiTheme="majorBidi" w:cstheme="majorBidi"/>
          <w:szCs w:val="24"/>
        </w:rPr>
      </w:pPr>
      <w:r>
        <w:rPr>
          <w:rFonts w:asciiTheme="majorBidi" w:hAnsiTheme="majorBidi" w:cstheme="majorBidi"/>
          <w:szCs w:val="24"/>
        </w:rPr>
        <w:t>“</w:t>
      </w:r>
      <w:r w:rsidR="0011577B">
        <w:rPr>
          <w:rFonts w:asciiTheme="majorBidi" w:hAnsiTheme="majorBidi" w:cstheme="majorBidi"/>
          <w:szCs w:val="24"/>
        </w:rPr>
        <w:t xml:space="preserve">9.  </w:t>
      </w:r>
      <w:r w:rsidR="00970BA3">
        <w:rPr>
          <w:rFonts w:asciiTheme="majorBidi" w:hAnsiTheme="majorBidi" w:cstheme="majorBidi"/>
          <w:szCs w:val="24"/>
        </w:rPr>
        <w:t xml:space="preserve"> </w:t>
      </w:r>
      <w:r w:rsidRPr="00382F59">
        <w:rPr>
          <w:rFonts w:asciiTheme="majorBidi" w:hAnsiTheme="majorBidi" w:cstheme="majorBidi"/>
          <w:szCs w:val="24"/>
        </w:rPr>
        <w:t xml:space="preserve">Under the Equality Act 2010 (the Equality Act), schools must not discriminate against, harass or victimise pupils because of: sex; race; disability; religion or belief; sexual orientation; pregnancy/maternity; or gender reassignment. For disabled children, this includes a duty to make reasonable adjustments to policies and practices and the provision of auxiliary aids.  </w:t>
      </w:r>
    </w:p>
    <w:p w14:paraId="1B8AA6EC" w14:textId="5FABEF7B" w:rsidR="0011577B" w:rsidRDefault="00382F59" w:rsidP="00972118">
      <w:pPr>
        <w:pStyle w:val="ParaLevel1"/>
        <w:numPr>
          <w:ilvl w:val="0"/>
          <w:numId w:val="0"/>
        </w:numPr>
        <w:ind w:left="1418" w:right="793"/>
        <w:rPr>
          <w:rFonts w:asciiTheme="majorBidi" w:hAnsiTheme="majorBidi" w:cstheme="majorBidi"/>
          <w:szCs w:val="24"/>
        </w:rPr>
      </w:pPr>
      <w:r w:rsidRPr="00382F59">
        <w:rPr>
          <w:rFonts w:asciiTheme="majorBidi" w:hAnsiTheme="majorBidi" w:cstheme="majorBidi"/>
          <w:szCs w:val="24"/>
        </w:rPr>
        <w:t xml:space="preserve">10. </w:t>
      </w:r>
      <w:r w:rsidR="0011577B">
        <w:rPr>
          <w:rFonts w:asciiTheme="majorBidi" w:hAnsiTheme="majorBidi" w:cstheme="majorBidi"/>
          <w:szCs w:val="24"/>
        </w:rPr>
        <w:t xml:space="preserve"> </w:t>
      </w:r>
      <w:r w:rsidR="00A30309">
        <w:rPr>
          <w:rFonts w:asciiTheme="majorBidi" w:hAnsiTheme="majorBidi" w:cstheme="majorBidi"/>
          <w:szCs w:val="24"/>
        </w:rPr>
        <w:t xml:space="preserve"> </w:t>
      </w:r>
      <w:r w:rsidRPr="00382F59">
        <w:rPr>
          <w:rFonts w:asciiTheme="majorBidi" w:hAnsiTheme="majorBidi" w:cstheme="majorBidi"/>
          <w:szCs w:val="24"/>
        </w:rPr>
        <w:t xml:space="preserve">In carrying out their functions, the public sector equality duty means schools must also have due regard to the need to: </w:t>
      </w:r>
    </w:p>
    <w:p w14:paraId="76F3CFD6" w14:textId="2B7205CE" w:rsidR="0011577B" w:rsidRDefault="00382F59" w:rsidP="00972118">
      <w:pPr>
        <w:pStyle w:val="ParaLevel1"/>
        <w:numPr>
          <w:ilvl w:val="0"/>
          <w:numId w:val="0"/>
        </w:numPr>
        <w:ind w:left="1985" w:right="793" w:hanging="567"/>
        <w:rPr>
          <w:rFonts w:asciiTheme="majorBidi" w:hAnsiTheme="majorBidi" w:cstheme="majorBidi"/>
          <w:szCs w:val="24"/>
        </w:rPr>
      </w:pPr>
      <w:r w:rsidRPr="00382F59">
        <w:rPr>
          <w:rFonts w:asciiTheme="majorBidi" w:hAnsiTheme="majorBidi" w:cstheme="majorBidi"/>
          <w:szCs w:val="24"/>
        </w:rPr>
        <w:t xml:space="preserve">• </w:t>
      </w:r>
      <w:r w:rsidR="00A30309">
        <w:rPr>
          <w:rFonts w:asciiTheme="majorBidi" w:hAnsiTheme="majorBidi" w:cstheme="majorBidi"/>
          <w:szCs w:val="24"/>
        </w:rPr>
        <w:tab/>
      </w:r>
      <w:r w:rsidRPr="00382F59">
        <w:rPr>
          <w:rFonts w:asciiTheme="majorBidi" w:hAnsiTheme="majorBidi" w:cstheme="majorBidi"/>
          <w:szCs w:val="24"/>
        </w:rPr>
        <w:t xml:space="preserve">eliminate discrimination, harassment, victimisation, and other conduct that is prohibited by the Equality Act;  </w:t>
      </w:r>
    </w:p>
    <w:p w14:paraId="7DA23456" w14:textId="50557D04" w:rsidR="0011577B" w:rsidRDefault="00382F59" w:rsidP="00972118">
      <w:pPr>
        <w:pStyle w:val="ParaLevel1"/>
        <w:numPr>
          <w:ilvl w:val="0"/>
          <w:numId w:val="0"/>
        </w:numPr>
        <w:ind w:left="1985" w:right="793" w:hanging="567"/>
        <w:rPr>
          <w:rFonts w:asciiTheme="majorBidi" w:hAnsiTheme="majorBidi" w:cstheme="majorBidi"/>
          <w:szCs w:val="24"/>
        </w:rPr>
      </w:pPr>
      <w:r w:rsidRPr="00382F59">
        <w:rPr>
          <w:rFonts w:asciiTheme="majorBidi" w:hAnsiTheme="majorBidi" w:cstheme="majorBidi"/>
          <w:szCs w:val="24"/>
        </w:rPr>
        <w:t xml:space="preserve">• </w:t>
      </w:r>
      <w:r w:rsidR="00A30309">
        <w:rPr>
          <w:rFonts w:asciiTheme="majorBidi" w:hAnsiTheme="majorBidi" w:cstheme="majorBidi"/>
          <w:szCs w:val="24"/>
        </w:rPr>
        <w:tab/>
      </w:r>
      <w:r w:rsidRPr="00382F59">
        <w:rPr>
          <w:rFonts w:asciiTheme="majorBidi" w:hAnsiTheme="majorBidi" w:cstheme="majorBidi"/>
          <w:szCs w:val="24"/>
        </w:rPr>
        <w:t xml:space="preserve">advance equality of opportunity between people who share a protected characteristic and people who do not; and </w:t>
      </w:r>
    </w:p>
    <w:p w14:paraId="79C5C261" w14:textId="7AA9D060" w:rsidR="0011577B" w:rsidRDefault="00382F59" w:rsidP="00972118">
      <w:pPr>
        <w:pStyle w:val="ParaLevel1"/>
        <w:numPr>
          <w:ilvl w:val="0"/>
          <w:numId w:val="0"/>
        </w:numPr>
        <w:ind w:left="1985" w:right="793" w:hanging="567"/>
        <w:rPr>
          <w:rFonts w:asciiTheme="majorBidi" w:hAnsiTheme="majorBidi" w:cstheme="majorBidi"/>
          <w:szCs w:val="24"/>
        </w:rPr>
      </w:pPr>
      <w:r w:rsidRPr="00382F59">
        <w:rPr>
          <w:rFonts w:asciiTheme="majorBidi" w:hAnsiTheme="majorBidi" w:cstheme="majorBidi"/>
          <w:szCs w:val="24"/>
        </w:rPr>
        <w:t xml:space="preserve">• </w:t>
      </w:r>
      <w:r w:rsidR="00A30309">
        <w:rPr>
          <w:rFonts w:asciiTheme="majorBidi" w:hAnsiTheme="majorBidi" w:cstheme="majorBidi"/>
          <w:szCs w:val="24"/>
        </w:rPr>
        <w:tab/>
      </w:r>
      <w:r w:rsidRPr="00382F59">
        <w:rPr>
          <w:rFonts w:asciiTheme="majorBidi" w:hAnsiTheme="majorBidi" w:cstheme="majorBidi"/>
          <w:szCs w:val="24"/>
        </w:rPr>
        <w:t xml:space="preserve">foster good relations between people who share a protected characteristic and people who do not share it.  </w:t>
      </w:r>
    </w:p>
    <w:p w14:paraId="03C42212" w14:textId="24A34AA5" w:rsidR="00A620BA" w:rsidRPr="00C31F47" w:rsidRDefault="00382F59" w:rsidP="00972118">
      <w:pPr>
        <w:pStyle w:val="ParaLevel1"/>
        <w:numPr>
          <w:ilvl w:val="0"/>
          <w:numId w:val="0"/>
        </w:numPr>
        <w:ind w:left="1418" w:right="793"/>
        <w:rPr>
          <w:rFonts w:asciiTheme="majorBidi" w:hAnsiTheme="majorBidi" w:cstheme="majorBidi"/>
          <w:szCs w:val="24"/>
        </w:rPr>
      </w:pPr>
      <w:r w:rsidRPr="00382F59">
        <w:rPr>
          <w:rFonts w:asciiTheme="majorBidi" w:hAnsiTheme="majorBidi" w:cstheme="majorBidi"/>
          <w:szCs w:val="24"/>
        </w:rPr>
        <w:t xml:space="preserve">11. </w:t>
      </w:r>
      <w:r w:rsidR="0011577B">
        <w:rPr>
          <w:rFonts w:asciiTheme="majorBidi" w:hAnsiTheme="majorBidi" w:cstheme="majorBidi"/>
          <w:szCs w:val="24"/>
        </w:rPr>
        <w:t xml:space="preserve"> </w:t>
      </w:r>
      <w:r w:rsidRPr="00382F59">
        <w:rPr>
          <w:rFonts w:asciiTheme="majorBidi" w:hAnsiTheme="majorBidi" w:cstheme="majorBidi"/>
          <w:szCs w:val="24"/>
        </w:rPr>
        <w:t>These duties need to be complied with when deciding whether to exclude a pupil. Schools must also ensure that their policies and practices do not discriminate against pupils by unfairly increasing their risk of exclusion. Provisions within the Equality Act allow schools to take positive action to deal with particular disadvantages, needs, or low participation affecting one group, where this can be shown to be a proportionate way of dealing with such issues</w:t>
      </w:r>
      <w:r w:rsidR="00A30309">
        <w:rPr>
          <w:rFonts w:asciiTheme="majorBidi" w:hAnsiTheme="majorBidi" w:cstheme="majorBidi"/>
          <w:szCs w:val="24"/>
        </w:rPr>
        <w:t>.”</w:t>
      </w:r>
    </w:p>
    <w:p w14:paraId="03FA11A2" w14:textId="4F048810" w:rsidR="005D68B6" w:rsidRDefault="00157BAC" w:rsidP="00972118">
      <w:pPr>
        <w:pStyle w:val="ParaLevel1"/>
        <w:numPr>
          <w:ilvl w:val="0"/>
          <w:numId w:val="0"/>
        </w:numPr>
        <w:ind w:left="720"/>
        <w:rPr>
          <w:szCs w:val="24"/>
        </w:rPr>
      </w:pPr>
      <w:r>
        <w:rPr>
          <w:szCs w:val="24"/>
        </w:rPr>
        <w:t>Para</w:t>
      </w:r>
      <w:r w:rsidR="006B3C6E">
        <w:rPr>
          <w:szCs w:val="24"/>
        </w:rPr>
        <w:t>s</w:t>
      </w:r>
      <w:r>
        <w:rPr>
          <w:szCs w:val="24"/>
        </w:rPr>
        <w:t xml:space="preserve">. 9 </w:t>
      </w:r>
      <w:r w:rsidR="006B3C6E">
        <w:rPr>
          <w:szCs w:val="24"/>
        </w:rPr>
        <w:t xml:space="preserve">and 10 </w:t>
      </w:r>
      <w:r w:rsidR="00DD69E7">
        <w:rPr>
          <w:szCs w:val="24"/>
        </w:rPr>
        <w:t xml:space="preserve">identify separately the two duties which I have distinguished at para. </w:t>
      </w:r>
      <w:r w:rsidR="006C6C36">
        <w:rPr>
          <w:szCs w:val="24"/>
        </w:rPr>
        <w:t>9</w:t>
      </w:r>
      <w:r w:rsidR="00DD69E7">
        <w:rPr>
          <w:szCs w:val="24"/>
        </w:rPr>
        <w:t xml:space="preserve"> above</w:t>
      </w:r>
      <w:r w:rsidR="006C6C36">
        <w:rPr>
          <w:szCs w:val="24"/>
        </w:rPr>
        <w:t>:</w:t>
      </w:r>
      <w:r w:rsidR="00247D49">
        <w:rPr>
          <w:szCs w:val="24"/>
        </w:rPr>
        <w:t xml:space="preserve"> para. 9</w:t>
      </w:r>
      <w:r w:rsidR="006C6C36">
        <w:rPr>
          <w:szCs w:val="24"/>
        </w:rPr>
        <w:t xml:space="preserve"> </w:t>
      </w:r>
      <w:r w:rsidR="00247D49">
        <w:rPr>
          <w:szCs w:val="24"/>
        </w:rPr>
        <w:t>refer</w:t>
      </w:r>
      <w:r w:rsidR="00473185">
        <w:rPr>
          <w:szCs w:val="24"/>
        </w:rPr>
        <w:t>s</w:t>
      </w:r>
      <w:r w:rsidR="00247D49">
        <w:rPr>
          <w:szCs w:val="24"/>
        </w:rPr>
        <w:t xml:space="preserve"> to</w:t>
      </w:r>
      <w:r>
        <w:rPr>
          <w:szCs w:val="24"/>
        </w:rPr>
        <w:t xml:space="preserve"> the duty of schools </w:t>
      </w:r>
      <w:r w:rsidR="009B6715">
        <w:rPr>
          <w:szCs w:val="24"/>
        </w:rPr>
        <w:t xml:space="preserve">not to discriminate in individual exclusion decisions whereas </w:t>
      </w:r>
      <w:r w:rsidR="00247D49">
        <w:rPr>
          <w:szCs w:val="24"/>
        </w:rPr>
        <w:t>p</w:t>
      </w:r>
      <w:r w:rsidR="00230FF5">
        <w:rPr>
          <w:szCs w:val="24"/>
        </w:rPr>
        <w:t xml:space="preserve">ara. 10 </w:t>
      </w:r>
      <w:r w:rsidR="009B6715">
        <w:rPr>
          <w:szCs w:val="24"/>
        </w:rPr>
        <w:t xml:space="preserve">refers </w:t>
      </w:r>
      <w:r w:rsidR="00230FF5">
        <w:rPr>
          <w:szCs w:val="24"/>
        </w:rPr>
        <w:t>to the PSED</w:t>
      </w:r>
      <w:r w:rsidR="00857F78">
        <w:rPr>
          <w:szCs w:val="24"/>
        </w:rPr>
        <w:t>.</w:t>
      </w:r>
      <w:r w:rsidR="00E50408">
        <w:rPr>
          <w:szCs w:val="24"/>
        </w:rPr>
        <w:t xml:space="preserve">  The first sentence of para. 11 </w:t>
      </w:r>
      <w:r w:rsidR="00322729">
        <w:rPr>
          <w:szCs w:val="24"/>
        </w:rPr>
        <w:t xml:space="preserve">states that both </w:t>
      </w:r>
      <w:r w:rsidR="009B6715">
        <w:rPr>
          <w:szCs w:val="24"/>
        </w:rPr>
        <w:t xml:space="preserve">duties </w:t>
      </w:r>
      <w:r w:rsidR="00322729">
        <w:rPr>
          <w:szCs w:val="24"/>
        </w:rPr>
        <w:t>need to be complied with when making a decision whether to exclude a pupil: this is not entirely straightforward</w:t>
      </w:r>
      <w:r w:rsidR="002B3A2E">
        <w:rPr>
          <w:szCs w:val="24"/>
        </w:rPr>
        <w:t>, and I return to it at para</w:t>
      </w:r>
      <w:r w:rsidR="00E1431F">
        <w:rPr>
          <w:szCs w:val="24"/>
        </w:rPr>
        <w:t>s. 22-24</w:t>
      </w:r>
      <w:r w:rsidR="002B3A2E">
        <w:rPr>
          <w:szCs w:val="24"/>
        </w:rPr>
        <w:t xml:space="preserve"> below.  The remainder of para. 11 is concerned with the </w:t>
      </w:r>
      <w:r w:rsidR="004E639C">
        <w:rPr>
          <w:szCs w:val="24"/>
        </w:rPr>
        <w:t xml:space="preserve">separate question of </w:t>
      </w:r>
      <w:r w:rsidR="00AB2388">
        <w:rPr>
          <w:szCs w:val="24"/>
        </w:rPr>
        <w:t xml:space="preserve">avoiding or mitigating the </w:t>
      </w:r>
      <w:r w:rsidR="00505D01">
        <w:rPr>
          <w:szCs w:val="24"/>
        </w:rPr>
        <w:t>risk</w:t>
      </w:r>
      <w:r w:rsidR="00AB2388">
        <w:rPr>
          <w:szCs w:val="24"/>
        </w:rPr>
        <w:t xml:space="preserve"> of exclusion</w:t>
      </w:r>
      <w:r w:rsidR="00505D01">
        <w:rPr>
          <w:szCs w:val="24"/>
        </w:rPr>
        <w:t>.</w:t>
      </w:r>
    </w:p>
    <w:p w14:paraId="185B1F9B" w14:textId="27B3AD35" w:rsidR="003A7337" w:rsidRDefault="001818CD" w:rsidP="00972118">
      <w:pPr>
        <w:pStyle w:val="ParaLevel1"/>
        <w:rPr>
          <w:szCs w:val="24"/>
        </w:rPr>
      </w:pPr>
      <w:r>
        <w:rPr>
          <w:szCs w:val="24"/>
        </w:rPr>
        <w:t>P</w:t>
      </w:r>
      <w:r w:rsidR="0089159A">
        <w:rPr>
          <w:szCs w:val="24"/>
        </w:rPr>
        <w:t>ara. 12</w:t>
      </w:r>
      <w:r>
        <w:rPr>
          <w:szCs w:val="24"/>
        </w:rPr>
        <w:t xml:space="preserve">, which also falls under this part, </w:t>
      </w:r>
      <w:r w:rsidR="00316620">
        <w:rPr>
          <w:szCs w:val="24"/>
        </w:rPr>
        <w:t>reads:</w:t>
      </w:r>
    </w:p>
    <w:p w14:paraId="0E47E72F" w14:textId="4B38A466" w:rsidR="00316620" w:rsidRDefault="00CF01D8" w:rsidP="00972118">
      <w:pPr>
        <w:pStyle w:val="ParaLevel1"/>
        <w:numPr>
          <w:ilvl w:val="0"/>
          <w:numId w:val="0"/>
        </w:numPr>
        <w:ind w:left="1418" w:right="793"/>
        <w:rPr>
          <w:szCs w:val="24"/>
        </w:rPr>
      </w:pPr>
      <w:r>
        <w:rPr>
          <w:szCs w:val="24"/>
        </w:rPr>
        <w:t>“</w:t>
      </w:r>
      <w:r w:rsidRPr="00CF01D8">
        <w:rPr>
          <w:szCs w:val="24"/>
        </w:rPr>
        <w:t>The head teacher and governing body must comply with their statutory duties in relation to SEN when administering the exclusion process. This includes having regard to the SEN Code of Practice</w:t>
      </w:r>
      <w:r>
        <w:rPr>
          <w:szCs w:val="24"/>
        </w:rPr>
        <w:t>.”</w:t>
      </w:r>
    </w:p>
    <w:p w14:paraId="0269FD94" w14:textId="30BCB098" w:rsidR="00E92BED" w:rsidRPr="007234CC" w:rsidRDefault="00E8609B" w:rsidP="00972118">
      <w:pPr>
        <w:pStyle w:val="ParaLevel1"/>
        <w:numPr>
          <w:ilvl w:val="0"/>
          <w:numId w:val="0"/>
        </w:numPr>
        <w:ind w:left="720"/>
        <w:rPr>
          <w:szCs w:val="24"/>
        </w:rPr>
      </w:pPr>
      <w:r>
        <w:rPr>
          <w:szCs w:val="24"/>
        </w:rPr>
        <w:t>Th</w:t>
      </w:r>
      <w:r w:rsidR="00956CC5">
        <w:rPr>
          <w:szCs w:val="24"/>
        </w:rPr>
        <w:t>e “statutory duties in relation</w:t>
      </w:r>
      <w:r w:rsidR="006A5EE3">
        <w:rPr>
          <w:szCs w:val="24"/>
        </w:rPr>
        <w:t xml:space="preserve"> to SEN” referred to in para. 12 </w:t>
      </w:r>
      <w:r w:rsidR="00410351">
        <w:rPr>
          <w:szCs w:val="24"/>
        </w:rPr>
        <w:t xml:space="preserve">do not </w:t>
      </w:r>
      <w:r w:rsidR="00A1509E">
        <w:rPr>
          <w:szCs w:val="24"/>
        </w:rPr>
        <w:t xml:space="preserve">(at least primarily) </w:t>
      </w:r>
      <w:r w:rsidR="00410351">
        <w:rPr>
          <w:szCs w:val="24"/>
        </w:rPr>
        <w:t xml:space="preserve">derive </w:t>
      </w:r>
      <w:r w:rsidR="0093089B">
        <w:rPr>
          <w:szCs w:val="24"/>
        </w:rPr>
        <w:t>from the 2010 Act</w:t>
      </w:r>
      <w:r w:rsidR="00D96A78">
        <w:rPr>
          <w:rStyle w:val="FootnoteReference"/>
          <w:szCs w:val="24"/>
        </w:rPr>
        <w:footnoteReference w:id="3"/>
      </w:r>
      <w:r w:rsidR="0093089B">
        <w:rPr>
          <w:szCs w:val="24"/>
        </w:rPr>
        <w:t xml:space="preserve"> </w:t>
      </w:r>
      <w:r w:rsidR="00BA65EF">
        <w:rPr>
          <w:szCs w:val="24"/>
        </w:rPr>
        <w:t>and we were not referred to the SEN Code of Practice</w:t>
      </w:r>
      <w:r w:rsidR="0012792E">
        <w:rPr>
          <w:szCs w:val="24"/>
        </w:rPr>
        <w:t xml:space="preserve">.  But I </w:t>
      </w:r>
      <w:r w:rsidR="002679B7">
        <w:rPr>
          <w:szCs w:val="24"/>
        </w:rPr>
        <w:t>mention para. 12</w:t>
      </w:r>
      <w:r w:rsidR="0012792E">
        <w:rPr>
          <w:szCs w:val="24"/>
        </w:rPr>
        <w:t xml:space="preserve"> because</w:t>
      </w:r>
      <w:r w:rsidR="00A1509E">
        <w:rPr>
          <w:szCs w:val="24"/>
        </w:rPr>
        <w:t>, as we will see,</w:t>
      </w:r>
      <w:r w:rsidR="0012792E">
        <w:rPr>
          <w:szCs w:val="24"/>
        </w:rPr>
        <w:t xml:space="preserve"> </w:t>
      </w:r>
      <w:r w:rsidR="00096556">
        <w:rPr>
          <w:szCs w:val="24"/>
        </w:rPr>
        <w:t xml:space="preserve">at some </w:t>
      </w:r>
      <w:r w:rsidR="00A8109B">
        <w:rPr>
          <w:szCs w:val="24"/>
        </w:rPr>
        <w:t xml:space="preserve">points in the </w:t>
      </w:r>
      <w:r w:rsidR="00A1509E">
        <w:rPr>
          <w:szCs w:val="24"/>
        </w:rPr>
        <w:t>decision-making in this ca</w:t>
      </w:r>
      <w:r w:rsidR="00FE2E0E">
        <w:rPr>
          <w:szCs w:val="24"/>
        </w:rPr>
        <w:t>s</w:t>
      </w:r>
      <w:r w:rsidR="00A1509E">
        <w:rPr>
          <w:szCs w:val="24"/>
        </w:rPr>
        <w:t>e</w:t>
      </w:r>
      <w:r w:rsidR="00F171AA">
        <w:rPr>
          <w:szCs w:val="24"/>
        </w:rPr>
        <w:t xml:space="preserve"> </w:t>
      </w:r>
      <w:r w:rsidR="00096556">
        <w:rPr>
          <w:szCs w:val="24"/>
        </w:rPr>
        <w:t xml:space="preserve">there </w:t>
      </w:r>
      <w:r w:rsidR="00D35D67">
        <w:rPr>
          <w:szCs w:val="24"/>
        </w:rPr>
        <w:t>is</w:t>
      </w:r>
      <w:r w:rsidR="00096556">
        <w:rPr>
          <w:szCs w:val="24"/>
        </w:rPr>
        <w:t xml:space="preserve"> a degree of elision between the </w:t>
      </w:r>
      <w:r w:rsidR="00E74E30">
        <w:rPr>
          <w:szCs w:val="24"/>
        </w:rPr>
        <w:t xml:space="preserve">PSED and the </w:t>
      </w:r>
      <w:r w:rsidR="00A10E6C">
        <w:rPr>
          <w:szCs w:val="24"/>
        </w:rPr>
        <w:t xml:space="preserve">SEN </w:t>
      </w:r>
      <w:r w:rsidR="00096556">
        <w:rPr>
          <w:szCs w:val="24"/>
        </w:rPr>
        <w:t>duties.</w:t>
      </w:r>
    </w:p>
    <w:p w14:paraId="4FF6DE1E" w14:textId="4C7FE2B8" w:rsidR="00E15D73" w:rsidRDefault="00883651" w:rsidP="00972118">
      <w:pPr>
        <w:pStyle w:val="ParaLevel1"/>
      </w:pPr>
      <w:r>
        <w:t xml:space="preserve">Paras. 16-20 are headed </w:t>
      </w:r>
      <w:r w:rsidR="005E7814">
        <w:t>“S</w:t>
      </w:r>
      <w:r w:rsidR="005E7814" w:rsidRPr="005E7814">
        <w:t>tatutory guidance on factors that a head teacher should take into account before taking the decision to exclude</w:t>
      </w:r>
      <w:r w:rsidR="005E7814">
        <w:t>”</w:t>
      </w:r>
      <w:r w:rsidR="00853E1A">
        <w:t xml:space="preserve">. </w:t>
      </w:r>
      <w:r w:rsidR="00B0215D">
        <w:t xml:space="preserve"> </w:t>
      </w:r>
      <w:r w:rsidR="00E15D73">
        <w:t>I should quote t</w:t>
      </w:r>
      <w:r w:rsidR="00275223">
        <w:t>hree</w:t>
      </w:r>
      <w:r w:rsidR="00E15D73">
        <w:t xml:space="preserve"> passages from it.</w:t>
      </w:r>
    </w:p>
    <w:p w14:paraId="77BD8FF6" w14:textId="77753AC4" w:rsidR="00867790" w:rsidRDefault="00E15D73" w:rsidP="00972118">
      <w:pPr>
        <w:pStyle w:val="ParaLevel1"/>
      </w:pPr>
      <w:r>
        <w:t>First, p</w:t>
      </w:r>
      <w:r w:rsidR="00867790">
        <w:t>ara. 16 rea</w:t>
      </w:r>
      <w:r w:rsidR="00A03D24">
        <w:t>d</w:t>
      </w:r>
      <w:r w:rsidR="00867790">
        <w:t>s:</w:t>
      </w:r>
    </w:p>
    <w:p w14:paraId="593A2342" w14:textId="77777777" w:rsidR="00A03D24" w:rsidRDefault="00A03D24" w:rsidP="00972118">
      <w:pPr>
        <w:pStyle w:val="ParaLevel1"/>
        <w:numPr>
          <w:ilvl w:val="0"/>
          <w:numId w:val="0"/>
        </w:numPr>
        <w:ind w:left="1418" w:right="793"/>
      </w:pPr>
      <w:r>
        <w:t>“</w:t>
      </w:r>
      <w:r w:rsidRPr="00A03D24">
        <w:t xml:space="preserve">A decision to exclude a pupil permanently should only be taken: </w:t>
      </w:r>
    </w:p>
    <w:p w14:paraId="6BA87432" w14:textId="62A93D95" w:rsidR="00A03D24" w:rsidRDefault="00A03D24" w:rsidP="00972118">
      <w:pPr>
        <w:pStyle w:val="ParaLevel1"/>
        <w:numPr>
          <w:ilvl w:val="0"/>
          <w:numId w:val="0"/>
        </w:numPr>
        <w:ind w:left="1985" w:right="794" w:hanging="567"/>
      </w:pPr>
      <w:r w:rsidRPr="00A03D24">
        <w:t xml:space="preserve">• </w:t>
      </w:r>
      <w:r w:rsidR="00147595">
        <w:tab/>
      </w:r>
      <w:r w:rsidRPr="00A03D24">
        <w:t>in response to a serious breach or persistent breaches of the school</w:t>
      </w:r>
      <w:r w:rsidR="0064587C">
        <w:t>’</w:t>
      </w:r>
      <w:r w:rsidRPr="00A03D24">
        <w:t xml:space="preserve">s behaviour policy; and  </w:t>
      </w:r>
    </w:p>
    <w:p w14:paraId="09BB6B45" w14:textId="11AC65A8" w:rsidR="00867790" w:rsidRDefault="00A03D24" w:rsidP="00972118">
      <w:pPr>
        <w:pStyle w:val="ParaLevel1"/>
        <w:numPr>
          <w:ilvl w:val="0"/>
          <w:numId w:val="0"/>
        </w:numPr>
        <w:ind w:left="1985" w:right="794" w:hanging="567"/>
      </w:pPr>
      <w:r w:rsidRPr="00A03D24">
        <w:t xml:space="preserve">• </w:t>
      </w:r>
      <w:r w:rsidR="00147595">
        <w:tab/>
      </w:r>
      <w:r w:rsidRPr="00A03D24">
        <w:t>where allowing the pupil to remain in school would seriously harm the education or welfare of the pupil or others in the school.</w:t>
      </w:r>
      <w:r w:rsidR="009D630F">
        <w:t>”</w:t>
      </w:r>
    </w:p>
    <w:p w14:paraId="5E160FF2" w14:textId="45456F4E" w:rsidR="00E15D73" w:rsidRDefault="009D630F" w:rsidP="00972118">
      <w:pPr>
        <w:pStyle w:val="ParaLevel1"/>
        <w:numPr>
          <w:ilvl w:val="0"/>
          <w:numId w:val="0"/>
        </w:numPr>
        <w:ind w:left="720"/>
      </w:pPr>
      <w:r>
        <w:t>That is commonly referred to as “the two-fold test”</w:t>
      </w:r>
      <w:r w:rsidR="00CF5FC6">
        <w:t>: as will be seen</w:t>
      </w:r>
      <w:r w:rsidR="00985C56">
        <w:t>,</w:t>
      </w:r>
      <w:r w:rsidR="00CF5FC6">
        <w:t xml:space="preserve"> it is </w:t>
      </w:r>
      <w:r w:rsidR="00533110">
        <w:t>incorporated in the words which I have italicised</w:t>
      </w:r>
      <w:r w:rsidR="00CF5FC6">
        <w:t xml:space="preserve"> in the firs</w:t>
      </w:r>
      <w:r w:rsidR="00533110">
        <w:t>t</w:t>
      </w:r>
      <w:r w:rsidR="00CF5FC6">
        <w:t xml:space="preserve"> of the “key points” in section 2 quoted above.</w:t>
      </w:r>
      <w:r w:rsidR="00D55B22">
        <w:t xml:space="preserve">  As a shorthand, I will refer to the </w:t>
      </w:r>
      <w:r w:rsidR="004D50BF">
        <w:t>first</w:t>
      </w:r>
      <w:r w:rsidR="00D55B22">
        <w:t xml:space="preserve"> part of the test as</w:t>
      </w:r>
      <w:r w:rsidR="004D50BF">
        <w:t xml:space="preserve"> requiring “serious misconduct” and the second as requiring “serious harm”.</w:t>
      </w:r>
      <w:r w:rsidR="00533110">
        <w:t xml:space="preserve">  </w:t>
      </w:r>
    </w:p>
    <w:p w14:paraId="7D61A14C" w14:textId="32B0C92C" w:rsidR="00F77BB1" w:rsidRDefault="00F77BB1" w:rsidP="00972118">
      <w:pPr>
        <w:pStyle w:val="ParaLevel1"/>
      </w:pPr>
      <w:r>
        <w:t>Second, para. 19 reads:</w:t>
      </w:r>
    </w:p>
    <w:p w14:paraId="2575D281" w14:textId="77777777" w:rsidR="00F77BB1" w:rsidRDefault="00F77BB1" w:rsidP="00972118">
      <w:pPr>
        <w:pStyle w:val="ParaLevel1"/>
        <w:numPr>
          <w:ilvl w:val="0"/>
          <w:numId w:val="0"/>
        </w:numPr>
        <w:ind w:left="1418" w:right="793"/>
      </w:pPr>
      <w:r>
        <w:t>“</w:t>
      </w:r>
      <w:r w:rsidRPr="00B07D00">
        <w:t>Early intervention to address underlying causes of disruptive behaviour should include an assessment of whether appropriate provision is in place to support any SEN or disability that a pupil may have. The head teacher should also consider the use of a multi-agency assessment for a pupil who demonstrates persistent disruptive behaviour. Such assessments may pick up unidentified special educational needs but the scope of the assessment could go further, for example, by seeking to identify mental health or family problems</w:t>
      </w:r>
      <w:r>
        <w:t>.”</w:t>
      </w:r>
    </w:p>
    <w:p w14:paraId="341955F0" w14:textId="5E976F23" w:rsidR="00F77BB1" w:rsidRDefault="00F77BB1" w:rsidP="00972118">
      <w:pPr>
        <w:pStyle w:val="ParaLevel1"/>
        <w:numPr>
          <w:ilvl w:val="0"/>
          <w:numId w:val="0"/>
        </w:numPr>
        <w:ind w:left="720"/>
      </w:pPr>
      <w:r>
        <w:t xml:space="preserve">Though this is obviously an important point, its positioning in this part of the Guidance is slightly awkward, since by the time that a headteacher is deciding whether to take a decision to exclude the time for “early intervention” </w:t>
      </w:r>
      <w:r w:rsidR="00F72DB6">
        <w:t>will have</w:t>
      </w:r>
      <w:r>
        <w:t xml:space="preserve"> passed: as to this, see</w:t>
      </w:r>
      <w:r w:rsidR="00C51780">
        <w:t xml:space="preserve"> again</w:t>
      </w:r>
      <w:r>
        <w:t xml:space="preserve"> para</w:t>
      </w:r>
      <w:r w:rsidR="00C51780">
        <w:t>s</w:t>
      </w:r>
      <w:r>
        <w:t xml:space="preserve">. </w:t>
      </w:r>
      <w:r w:rsidR="00C51780">
        <w:t>22-24</w:t>
      </w:r>
      <w:r>
        <w:t xml:space="preserve"> below.</w:t>
      </w:r>
    </w:p>
    <w:p w14:paraId="103F59A8" w14:textId="20282D16" w:rsidR="00AC1C76" w:rsidRPr="00E66199" w:rsidRDefault="006A5640" w:rsidP="00972118">
      <w:pPr>
        <w:pStyle w:val="ParaLevel1"/>
      </w:pPr>
      <w:r>
        <w:t>Paras. 21-22 are headed “S</w:t>
      </w:r>
      <w:r w:rsidRPr="005E7814">
        <w:t xml:space="preserve">tatutory guidance </w:t>
      </w:r>
      <w:r w:rsidR="00AC1C76" w:rsidRPr="00AC1C76">
        <w:t>to the head on the exclusion of pupils from groups with disproportionately high rates of exclusion</w:t>
      </w:r>
      <w:r w:rsidR="00AC1C76">
        <w:t>”.  These read</w:t>
      </w:r>
      <w:r w:rsidR="00B41712">
        <w:t xml:space="preserve"> </w:t>
      </w:r>
      <w:r w:rsidR="00AC1C76" w:rsidRPr="00E66199">
        <w:rPr>
          <w:szCs w:val="24"/>
        </w:rPr>
        <w:t xml:space="preserve">(so far as material):   </w:t>
      </w:r>
    </w:p>
    <w:p w14:paraId="695F411E" w14:textId="4F4DBE47" w:rsidR="00AC1C76" w:rsidRDefault="00AC1C76" w:rsidP="00972118">
      <w:pPr>
        <w:pStyle w:val="ParaLevel1"/>
        <w:numPr>
          <w:ilvl w:val="0"/>
          <w:numId w:val="0"/>
        </w:numPr>
        <w:ind w:left="1418" w:right="793"/>
        <w:rPr>
          <w:szCs w:val="24"/>
        </w:rPr>
      </w:pPr>
      <w:r>
        <w:rPr>
          <w:szCs w:val="24"/>
        </w:rPr>
        <w:t>“</w:t>
      </w:r>
      <w:r w:rsidRPr="00235478">
        <w:rPr>
          <w:szCs w:val="24"/>
        </w:rPr>
        <w:t xml:space="preserve">21. The exclusion rates for certain groups of pupils are consistently higher than average. This includes: </w:t>
      </w:r>
      <w:r w:rsidRPr="00313B82">
        <w:rPr>
          <w:i/>
          <w:iCs/>
          <w:szCs w:val="24"/>
        </w:rPr>
        <w:t>pupils with SEN</w:t>
      </w:r>
      <w:r w:rsidRPr="00235478">
        <w:rPr>
          <w:szCs w:val="24"/>
        </w:rPr>
        <w:t>;</w:t>
      </w:r>
      <w:r w:rsidR="00893E1C">
        <w:rPr>
          <w:szCs w:val="24"/>
        </w:rPr>
        <w:t xml:space="preserve"> </w:t>
      </w:r>
      <w:r w:rsidR="00893E1C" w:rsidRPr="00893E1C">
        <w:rPr>
          <w:szCs w:val="24"/>
        </w:rPr>
        <w:t>pupils eligible for free school meals; looked after children;</w:t>
      </w:r>
      <w:r w:rsidRPr="00235478">
        <w:rPr>
          <w:szCs w:val="24"/>
        </w:rPr>
        <w:t xml:space="preserve"> and pupils from certain ethnic groups. The ethnic groups with the highest rates of exclusion are: Gypsy/Roma; Travellers of Irish Heritage; and </w:t>
      </w:r>
      <w:r w:rsidRPr="00924721">
        <w:rPr>
          <w:i/>
          <w:iCs/>
          <w:szCs w:val="24"/>
        </w:rPr>
        <w:t>Caribbean pupils</w:t>
      </w:r>
      <w:r>
        <w:rPr>
          <w:szCs w:val="24"/>
        </w:rPr>
        <w:t xml:space="preserve"> [emphasis supplied].</w:t>
      </w:r>
    </w:p>
    <w:p w14:paraId="065219DB" w14:textId="77777777" w:rsidR="00AC1C76" w:rsidRDefault="00AC1C76" w:rsidP="003D699D">
      <w:pPr>
        <w:pStyle w:val="ParaLevel1"/>
        <w:numPr>
          <w:ilvl w:val="0"/>
          <w:numId w:val="0"/>
        </w:numPr>
        <w:ind w:left="1418" w:right="794"/>
        <w:rPr>
          <w:szCs w:val="24"/>
        </w:rPr>
      </w:pPr>
      <w:r w:rsidRPr="00235478">
        <w:rPr>
          <w:szCs w:val="24"/>
        </w:rPr>
        <w:t xml:space="preserve">22. In addition to the approaches on early intervention set out above, the head teacher should consider what extra support might be needed to identify and address the needs of pupils from these groups in order to reduce their risk of exclusion. </w:t>
      </w:r>
      <w:r>
        <w:rPr>
          <w:szCs w:val="24"/>
        </w:rPr>
        <w:t>…”</w:t>
      </w:r>
      <w:r w:rsidRPr="00235478">
        <w:rPr>
          <w:szCs w:val="24"/>
        </w:rPr>
        <w:t xml:space="preserve"> </w:t>
      </w:r>
    </w:p>
    <w:p w14:paraId="6826B209" w14:textId="381DDD74" w:rsidR="00D62CC2" w:rsidRPr="004164C8" w:rsidRDefault="00D62CC2" w:rsidP="00972118">
      <w:pPr>
        <w:pStyle w:val="ParaLevel1"/>
        <w:numPr>
          <w:ilvl w:val="0"/>
          <w:numId w:val="0"/>
        </w:numPr>
        <w:ind w:left="720" w:hanging="720"/>
        <w:rPr>
          <w:szCs w:val="24"/>
          <w:u w:val="single"/>
        </w:rPr>
      </w:pPr>
      <w:r w:rsidRPr="004164C8">
        <w:rPr>
          <w:szCs w:val="24"/>
          <w:u w:val="single"/>
        </w:rPr>
        <w:t>THE RELEVANCE OF THE PSED</w:t>
      </w:r>
      <w:r>
        <w:rPr>
          <w:szCs w:val="24"/>
          <w:u w:val="single"/>
        </w:rPr>
        <w:t xml:space="preserve"> IN THE PRESENT CASE</w:t>
      </w:r>
    </w:p>
    <w:p w14:paraId="3F42AB71" w14:textId="1433DC9B" w:rsidR="00C540C0" w:rsidRDefault="00647921" w:rsidP="00972118">
      <w:pPr>
        <w:pStyle w:val="ParaLevel1"/>
      </w:pPr>
      <w:r w:rsidRPr="00362539">
        <w:t xml:space="preserve">The </w:t>
      </w:r>
      <w:r w:rsidR="00F6779A">
        <w:t xml:space="preserve">asserted </w:t>
      </w:r>
      <w:r w:rsidR="00945F17" w:rsidRPr="00362539">
        <w:t xml:space="preserve">significance of the PSED in the present case </w:t>
      </w:r>
      <w:r w:rsidR="00611BE3">
        <w:t>starts from the fact</w:t>
      </w:r>
      <w:r w:rsidR="00945F17" w:rsidRPr="00362539">
        <w:t xml:space="preserve"> that there is</w:t>
      </w:r>
      <w:r w:rsidR="00EF13E0">
        <w:t>, as appears from para. 21 of the Guidance,</w:t>
      </w:r>
      <w:r w:rsidR="00945F17" w:rsidRPr="00362539">
        <w:t xml:space="preserve"> </w:t>
      </w:r>
      <w:r w:rsidR="00967922">
        <w:t>clear</w:t>
      </w:r>
      <w:r w:rsidR="00945F17" w:rsidRPr="00362539">
        <w:t xml:space="preserve"> evidence that </w:t>
      </w:r>
      <w:r w:rsidR="00140E93">
        <w:t xml:space="preserve">exclusion rates are disproportionately high for </w:t>
      </w:r>
      <w:r w:rsidR="00011C3A" w:rsidRPr="00362539">
        <w:t>pupils</w:t>
      </w:r>
      <w:r w:rsidR="00654E67" w:rsidRPr="00362539">
        <w:t xml:space="preserve"> of</w:t>
      </w:r>
      <w:r w:rsidR="00011C3A" w:rsidRPr="00362539">
        <w:t xml:space="preserve"> </w:t>
      </w:r>
      <w:r w:rsidR="00D2254B" w:rsidRPr="00362539">
        <w:t xml:space="preserve">Caribbean ethnicity </w:t>
      </w:r>
      <w:r w:rsidR="00654E67" w:rsidRPr="00362539">
        <w:t>or who have</w:t>
      </w:r>
      <w:r w:rsidR="00D2254B" w:rsidRPr="00362539">
        <w:t xml:space="preserve"> SEN</w:t>
      </w:r>
      <w:r w:rsidR="00D02089">
        <w:t>.</w:t>
      </w:r>
      <w:r w:rsidR="00182A9B">
        <w:t xml:space="preserve">  The statement in the Guidance </w:t>
      </w:r>
      <w:r w:rsidR="00C540C0">
        <w:t>was reinforced</w:t>
      </w:r>
      <w:r w:rsidR="00182A9B">
        <w:t xml:space="preserve"> by evidence </w:t>
      </w:r>
      <w:r w:rsidR="00C540C0">
        <w:t xml:space="preserve">adduced by the Claimant in the present case.  The Judge said at para. 62 </w:t>
      </w:r>
      <w:r w:rsidR="00072A9B">
        <w:t>o</w:t>
      </w:r>
      <w:r w:rsidR="00C540C0">
        <w:t>f his judgment:</w:t>
      </w:r>
    </w:p>
    <w:p w14:paraId="414B2CBD" w14:textId="34714933" w:rsidR="009A20DE" w:rsidRDefault="00C540C0" w:rsidP="00972118">
      <w:pPr>
        <w:pStyle w:val="ParaLevel1"/>
        <w:numPr>
          <w:ilvl w:val="0"/>
          <w:numId w:val="0"/>
        </w:numPr>
        <w:spacing w:after="360"/>
        <w:ind w:left="1418" w:right="794"/>
      </w:pPr>
      <w:r>
        <w:t>“The Claimant presented substantial and compelling statistical evidence relating to the over-representation, both nationally and locally, of those with protected characteristics such as TZB’s among those who are permanently excluded from school. Ms Harrison KC emphasised that issues of intersectionality, or layering of disadvantage, meant that the impact on those who, like TZB, had multiple protected characteristics, was further amplified. She drew my attention to evidence of the severity of the potential impact on a permanently excluded child in the form of a school to prison pipeline</w:t>
      </w:r>
      <w:r w:rsidR="00383EDF">
        <w:t>’</w:t>
      </w:r>
      <w:r>
        <w:t>, with the dire implications that such a path has for the life chances of such a child.</w:t>
      </w:r>
      <w:r w:rsidR="00383EDF">
        <w:t>”</w:t>
      </w:r>
    </w:p>
    <w:p w14:paraId="18A1339F" w14:textId="005F6C68" w:rsidR="00D558C0" w:rsidRPr="00057249" w:rsidRDefault="000A268E" w:rsidP="00972118">
      <w:pPr>
        <w:pStyle w:val="ParaLevel1"/>
      </w:pPr>
      <w:r w:rsidRPr="00362539">
        <w:t xml:space="preserve">It is the Claimant’s case </w:t>
      </w:r>
      <w:r w:rsidR="00052ECF" w:rsidRPr="00362539">
        <w:t xml:space="preserve">that </w:t>
      </w:r>
      <w:r w:rsidR="00FB75C5">
        <w:t xml:space="preserve">that </w:t>
      </w:r>
      <w:r w:rsidR="00052ECF" w:rsidRPr="00362539">
        <w:t xml:space="preserve">means that </w:t>
      </w:r>
      <w:r w:rsidR="002D22FC" w:rsidRPr="00362539">
        <w:t xml:space="preserve">opportunities for </w:t>
      </w:r>
      <w:r w:rsidR="00052ECF" w:rsidRPr="00362539">
        <w:t>children with th</w:t>
      </w:r>
      <w:r w:rsidR="00967922">
        <w:t>e</w:t>
      </w:r>
      <w:r w:rsidR="00052ECF" w:rsidRPr="00362539">
        <w:t xml:space="preserve"> characteristics </w:t>
      </w:r>
      <w:r w:rsidR="00967922">
        <w:t xml:space="preserve">in question </w:t>
      </w:r>
      <w:r w:rsidR="00D02089">
        <w:t xml:space="preserve">(to whom I will refer as “high-risk”) </w:t>
      </w:r>
      <w:r w:rsidR="002D22FC" w:rsidRPr="00362539">
        <w:t>are impaired compared with other children</w:t>
      </w:r>
      <w:r w:rsidR="00C43485">
        <w:t xml:space="preserve">, </w:t>
      </w:r>
      <w:r w:rsidR="002D22FC" w:rsidRPr="00362539">
        <w:t xml:space="preserve">and that there is accordingly </w:t>
      </w:r>
      <w:r w:rsidR="00362539" w:rsidRPr="00362539">
        <w:t xml:space="preserve">a need to advance </w:t>
      </w:r>
      <w:r w:rsidR="00362539" w:rsidRPr="00175180">
        <w:t xml:space="preserve">equality of opportunity </w:t>
      </w:r>
      <w:r w:rsidR="00362539">
        <w:t xml:space="preserve">for them </w:t>
      </w:r>
      <w:r w:rsidR="00FB75C5">
        <w:t xml:space="preserve">by </w:t>
      </w:r>
      <w:r w:rsidR="00FE0749">
        <w:t>reducing or eliminating</w:t>
      </w:r>
      <w:r w:rsidR="004818D2">
        <w:t xml:space="preserve"> </w:t>
      </w:r>
      <w:r w:rsidR="00A15D50">
        <w:t>that disproportion</w:t>
      </w:r>
      <w:r w:rsidR="00C43485">
        <w:t>, thus engaging</w:t>
      </w:r>
      <w:r w:rsidR="00651714">
        <w:t xml:space="preserve"> section 149 (1) (b)</w:t>
      </w:r>
      <w:r w:rsidR="00ED2504">
        <w:rPr>
          <w:rStyle w:val="FootnoteReference"/>
        </w:rPr>
        <w:footnoteReference w:id="4"/>
      </w:r>
      <w:r w:rsidR="00C12A4D">
        <w:t xml:space="preserve">.  </w:t>
      </w:r>
      <w:r w:rsidR="00D558C0" w:rsidRPr="00AE77E4">
        <w:rPr>
          <w:color w:val="000000"/>
        </w:rPr>
        <w:t>Ms Harrison also referred to section 149 (1) (c)</w:t>
      </w:r>
      <w:r w:rsidR="00D80E60">
        <w:rPr>
          <w:color w:val="000000"/>
        </w:rPr>
        <w:t xml:space="preserve">: </w:t>
      </w:r>
      <w:r w:rsidR="00D558C0" w:rsidRPr="00AE77E4">
        <w:rPr>
          <w:color w:val="000000"/>
        </w:rPr>
        <w:t xml:space="preserve">I </w:t>
      </w:r>
      <w:r w:rsidR="00F21805" w:rsidRPr="00AE77E4">
        <w:rPr>
          <w:color w:val="000000"/>
        </w:rPr>
        <w:t xml:space="preserve">am </w:t>
      </w:r>
      <w:r w:rsidR="008A07B4" w:rsidRPr="00AE77E4">
        <w:rPr>
          <w:color w:val="000000"/>
        </w:rPr>
        <w:t>bound</w:t>
      </w:r>
      <w:r w:rsidR="00F21805" w:rsidRPr="00AE77E4">
        <w:rPr>
          <w:color w:val="000000"/>
        </w:rPr>
        <w:t xml:space="preserve"> to say that I </w:t>
      </w:r>
      <w:r w:rsidR="00456346" w:rsidRPr="00AE77E4">
        <w:rPr>
          <w:color w:val="000000"/>
        </w:rPr>
        <w:t>do not see how this consideration is engaged by disproportionate rates of school exclusion</w:t>
      </w:r>
      <w:r w:rsidR="00D80E60">
        <w:rPr>
          <w:color w:val="000000"/>
        </w:rPr>
        <w:t>,</w:t>
      </w:r>
      <w:r w:rsidR="008A07B4" w:rsidRPr="00AE77E4">
        <w:rPr>
          <w:color w:val="000000"/>
        </w:rPr>
        <w:t xml:space="preserve"> but </w:t>
      </w:r>
      <w:r w:rsidR="00D558C0" w:rsidRPr="00AE77E4">
        <w:rPr>
          <w:color w:val="000000"/>
        </w:rPr>
        <w:t>it is unnecessary to pursue the point.</w:t>
      </w:r>
    </w:p>
    <w:p w14:paraId="24E77304" w14:textId="39901246" w:rsidR="00A25652" w:rsidRDefault="00E22FA0" w:rsidP="00972118">
      <w:pPr>
        <w:pStyle w:val="ParaLevel1"/>
        <w:rPr>
          <w:szCs w:val="24"/>
        </w:rPr>
      </w:pPr>
      <w:r>
        <w:t>The relevance of</w:t>
      </w:r>
      <w:r w:rsidR="003B07D2">
        <w:t xml:space="preserve"> </w:t>
      </w:r>
      <w:r w:rsidR="000152C2">
        <w:rPr>
          <w:color w:val="000000"/>
          <w:szCs w:val="24"/>
        </w:rPr>
        <w:t>that</w:t>
      </w:r>
      <w:r w:rsidR="009A3CA3">
        <w:rPr>
          <w:color w:val="000000"/>
          <w:szCs w:val="24"/>
        </w:rPr>
        <w:t xml:space="preserve"> case</w:t>
      </w:r>
      <w:r w:rsidR="009A3CA3">
        <w:t xml:space="preserve"> </w:t>
      </w:r>
      <w:r w:rsidR="0038431D">
        <w:t xml:space="preserve">to TZB </w:t>
      </w:r>
      <w:r w:rsidR="003B07D2">
        <w:t>as it relates to race</w:t>
      </w:r>
      <w:r w:rsidR="0038431D">
        <w:t xml:space="preserve"> is obvious</w:t>
      </w:r>
      <w:r w:rsidR="003B07D2">
        <w:t xml:space="preserve"> </w:t>
      </w:r>
      <w:r w:rsidR="004027CF">
        <w:t xml:space="preserve">because of </w:t>
      </w:r>
      <w:r w:rsidR="0038431D">
        <w:t>his</w:t>
      </w:r>
      <w:r w:rsidR="001F1096" w:rsidRPr="003C6D3F">
        <w:rPr>
          <w:szCs w:val="24"/>
        </w:rPr>
        <w:t xml:space="preserve"> Caribbean </w:t>
      </w:r>
      <w:r w:rsidR="006B2FFF">
        <w:rPr>
          <w:szCs w:val="24"/>
        </w:rPr>
        <w:t>ethnicity</w:t>
      </w:r>
      <w:r w:rsidR="001F1096" w:rsidRPr="003C6D3F">
        <w:rPr>
          <w:szCs w:val="24"/>
        </w:rPr>
        <w:t>.</w:t>
      </w:r>
      <w:r w:rsidR="00CD6E16" w:rsidRPr="003C6D3F">
        <w:rPr>
          <w:szCs w:val="24"/>
        </w:rPr>
        <w:t xml:space="preserve">  </w:t>
      </w:r>
      <w:r w:rsidR="000152C2">
        <w:rPr>
          <w:szCs w:val="24"/>
        </w:rPr>
        <w:t>It</w:t>
      </w:r>
      <w:r w:rsidR="00347247" w:rsidRPr="003C6D3F">
        <w:rPr>
          <w:szCs w:val="24"/>
        </w:rPr>
        <w:t xml:space="preserve"> is not quite so straightforward as </w:t>
      </w:r>
      <w:r w:rsidR="006B2FFF">
        <w:rPr>
          <w:szCs w:val="24"/>
        </w:rPr>
        <w:t>regards</w:t>
      </w:r>
      <w:r w:rsidR="00347247" w:rsidRPr="003C6D3F">
        <w:rPr>
          <w:szCs w:val="24"/>
        </w:rPr>
        <w:t xml:space="preserve"> disability because there </w:t>
      </w:r>
      <w:r w:rsidR="0024618A">
        <w:rPr>
          <w:szCs w:val="24"/>
        </w:rPr>
        <w:t>wa</w:t>
      </w:r>
      <w:r w:rsidR="00347247" w:rsidRPr="003C6D3F">
        <w:rPr>
          <w:szCs w:val="24"/>
        </w:rPr>
        <w:t xml:space="preserve">s no evidence </w:t>
      </w:r>
      <w:r w:rsidR="0024618A">
        <w:rPr>
          <w:szCs w:val="24"/>
        </w:rPr>
        <w:t xml:space="preserve">in this case </w:t>
      </w:r>
      <w:r w:rsidR="00B51D29">
        <w:rPr>
          <w:szCs w:val="24"/>
        </w:rPr>
        <w:t xml:space="preserve">either </w:t>
      </w:r>
      <w:r w:rsidR="00347247" w:rsidRPr="003C6D3F">
        <w:rPr>
          <w:szCs w:val="24"/>
        </w:rPr>
        <w:t xml:space="preserve">that </w:t>
      </w:r>
      <w:r w:rsidR="00D320DF" w:rsidRPr="003C6D3F">
        <w:rPr>
          <w:szCs w:val="24"/>
        </w:rPr>
        <w:t xml:space="preserve">the exclusion rate for disabled pupils is disproportionately high </w:t>
      </w:r>
      <w:r w:rsidR="00B51D29">
        <w:rPr>
          <w:szCs w:val="24"/>
        </w:rPr>
        <w:t>or</w:t>
      </w:r>
      <w:r w:rsidR="00D320DF" w:rsidRPr="003C6D3F">
        <w:rPr>
          <w:szCs w:val="24"/>
        </w:rPr>
        <w:t xml:space="preserve"> that T</w:t>
      </w:r>
      <w:r w:rsidR="00C835BF">
        <w:rPr>
          <w:szCs w:val="24"/>
        </w:rPr>
        <w:t>Z</w:t>
      </w:r>
      <w:r w:rsidR="00D320DF" w:rsidRPr="003C6D3F">
        <w:rPr>
          <w:szCs w:val="24"/>
        </w:rPr>
        <w:t xml:space="preserve">B suffers from a disability within the meaning of the 2010 Act.  </w:t>
      </w:r>
      <w:r w:rsidR="00E9395C" w:rsidRPr="003C6D3F">
        <w:rPr>
          <w:szCs w:val="24"/>
        </w:rPr>
        <w:t>But Ms Harrison</w:t>
      </w:r>
      <w:r w:rsidR="00987CC2">
        <w:rPr>
          <w:szCs w:val="24"/>
        </w:rPr>
        <w:t xml:space="preserve"> </w:t>
      </w:r>
      <w:r w:rsidR="00EF1FE8">
        <w:rPr>
          <w:szCs w:val="24"/>
        </w:rPr>
        <w:t xml:space="preserve">contended </w:t>
      </w:r>
      <w:r w:rsidR="00F31424">
        <w:rPr>
          <w:szCs w:val="24"/>
        </w:rPr>
        <w:t xml:space="preserve">that </w:t>
      </w:r>
      <w:r w:rsidR="0029384F">
        <w:rPr>
          <w:szCs w:val="24"/>
        </w:rPr>
        <w:t>special educational needs</w:t>
      </w:r>
      <w:r w:rsidR="00E41F11">
        <w:rPr>
          <w:szCs w:val="24"/>
        </w:rPr>
        <w:t xml:space="preserve"> </w:t>
      </w:r>
      <w:r w:rsidR="003C6D3F" w:rsidRPr="003C6D3F">
        <w:rPr>
          <w:szCs w:val="24"/>
        </w:rPr>
        <w:t xml:space="preserve">will </w:t>
      </w:r>
      <w:r w:rsidR="00972BAE">
        <w:rPr>
          <w:szCs w:val="24"/>
        </w:rPr>
        <w:t xml:space="preserve">typically be </w:t>
      </w:r>
      <w:r w:rsidR="00CF5CD7">
        <w:rPr>
          <w:szCs w:val="24"/>
        </w:rPr>
        <w:t xml:space="preserve">the result </w:t>
      </w:r>
      <w:r w:rsidR="00D710A6">
        <w:rPr>
          <w:szCs w:val="24"/>
        </w:rPr>
        <w:t xml:space="preserve">of </w:t>
      </w:r>
      <w:r w:rsidR="00972BAE">
        <w:rPr>
          <w:szCs w:val="24"/>
        </w:rPr>
        <w:t xml:space="preserve">a </w:t>
      </w:r>
      <w:r w:rsidR="00F31424">
        <w:rPr>
          <w:szCs w:val="24"/>
        </w:rPr>
        <w:t xml:space="preserve">mental health condition amounting to </w:t>
      </w:r>
      <w:r w:rsidR="00972BAE">
        <w:rPr>
          <w:szCs w:val="24"/>
        </w:rPr>
        <w:t>a disability</w:t>
      </w:r>
      <w:r w:rsidR="00CF5CD7">
        <w:rPr>
          <w:szCs w:val="24"/>
        </w:rPr>
        <w:t xml:space="preserve">, and that </w:t>
      </w:r>
      <w:r w:rsidR="00C201EA">
        <w:rPr>
          <w:szCs w:val="24"/>
        </w:rPr>
        <w:t xml:space="preserve">the </w:t>
      </w:r>
      <w:r w:rsidR="00083F9C">
        <w:rPr>
          <w:szCs w:val="24"/>
        </w:rPr>
        <w:t xml:space="preserve">disproportionate exclusion rates for </w:t>
      </w:r>
      <w:r w:rsidR="00F27E22">
        <w:rPr>
          <w:szCs w:val="24"/>
        </w:rPr>
        <w:t xml:space="preserve">pupils with </w:t>
      </w:r>
      <w:r w:rsidR="00C201EA">
        <w:rPr>
          <w:szCs w:val="24"/>
        </w:rPr>
        <w:t xml:space="preserve">SEN </w:t>
      </w:r>
      <w:r w:rsidR="00690977">
        <w:rPr>
          <w:szCs w:val="24"/>
        </w:rPr>
        <w:t xml:space="preserve">can be treated as </w:t>
      </w:r>
      <w:r w:rsidR="00190462">
        <w:rPr>
          <w:szCs w:val="24"/>
        </w:rPr>
        <w:t>implying a disproportion</w:t>
      </w:r>
      <w:r w:rsidR="00DE031A">
        <w:rPr>
          <w:szCs w:val="24"/>
        </w:rPr>
        <w:t xml:space="preserve">ate rate </w:t>
      </w:r>
      <w:r w:rsidR="00190462">
        <w:rPr>
          <w:szCs w:val="24"/>
        </w:rPr>
        <w:t xml:space="preserve">also </w:t>
      </w:r>
      <w:r w:rsidR="00DE031A">
        <w:rPr>
          <w:szCs w:val="24"/>
        </w:rPr>
        <w:t>for</w:t>
      </w:r>
      <w:r w:rsidR="0064512F">
        <w:rPr>
          <w:szCs w:val="24"/>
        </w:rPr>
        <w:t xml:space="preserve"> </w:t>
      </w:r>
      <w:r w:rsidR="00190462">
        <w:rPr>
          <w:szCs w:val="24"/>
        </w:rPr>
        <w:t>pupils</w:t>
      </w:r>
      <w:r w:rsidR="0064512F">
        <w:rPr>
          <w:szCs w:val="24"/>
        </w:rPr>
        <w:t xml:space="preserve"> with a disability</w:t>
      </w:r>
      <w:r w:rsidR="008B0873">
        <w:rPr>
          <w:szCs w:val="24"/>
        </w:rPr>
        <w:t>.  S</w:t>
      </w:r>
      <w:r w:rsidR="003C6D3F">
        <w:rPr>
          <w:szCs w:val="24"/>
        </w:rPr>
        <w:t xml:space="preserve">he </w:t>
      </w:r>
      <w:r w:rsidR="00180FBB" w:rsidRPr="003C6D3F">
        <w:rPr>
          <w:szCs w:val="24"/>
        </w:rPr>
        <w:t xml:space="preserve">told us that the case had proceeded </w:t>
      </w:r>
      <w:r w:rsidR="00A97D0D" w:rsidRPr="003C6D3F">
        <w:rPr>
          <w:szCs w:val="24"/>
        </w:rPr>
        <w:t>below</w:t>
      </w:r>
      <w:r w:rsidR="00747955" w:rsidRPr="003C6D3F">
        <w:rPr>
          <w:szCs w:val="24"/>
        </w:rPr>
        <w:t xml:space="preserve">, without challenge, </w:t>
      </w:r>
      <w:r w:rsidR="00180FBB" w:rsidRPr="003C6D3F">
        <w:rPr>
          <w:szCs w:val="24"/>
        </w:rPr>
        <w:t xml:space="preserve">on the basis that </w:t>
      </w:r>
      <w:r w:rsidR="00247EA5">
        <w:rPr>
          <w:szCs w:val="24"/>
        </w:rPr>
        <w:t>TZB’s</w:t>
      </w:r>
      <w:r w:rsidR="00180FBB" w:rsidRPr="003C6D3F">
        <w:rPr>
          <w:szCs w:val="24"/>
        </w:rPr>
        <w:t xml:space="preserve"> </w:t>
      </w:r>
      <w:r w:rsidR="00D656A4" w:rsidRPr="003C6D3F">
        <w:rPr>
          <w:szCs w:val="24"/>
        </w:rPr>
        <w:t xml:space="preserve">acknowledged </w:t>
      </w:r>
      <w:r w:rsidR="00180FBB" w:rsidRPr="003C6D3F">
        <w:rPr>
          <w:szCs w:val="24"/>
        </w:rPr>
        <w:t xml:space="preserve">special </w:t>
      </w:r>
      <w:r w:rsidR="00EF0AD3" w:rsidRPr="003C6D3F">
        <w:rPr>
          <w:szCs w:val="24"/>
        </w:rPr>
        <w:t>educational</w:t>
      </w:r>
      <w:r w:rsidR="00180FBB" w:rsidRPr="003C6D3F">
        <w:rPr>
          <w:szCs w:val="24"/>
        </w:rPr>
        <w:t xml:space="preserve"> needs</w:t>
      </w:r>
      <w:r w:rsidR="00247EA5">
        <w:rPr>
          <w:szCs w:val="24"/>
        </w:rPr>
        <w:t xml:space="preserve"> </w:t>
      </w:r>
      <w:r w:rsidR="00180FBB" w:rsidRPr="003C6D3F">
        <w:rPr>
          <w:szCs w:val="24"/>
        </w:rPr>
        <w:t xml:space="preserve">were the </w:t>
      </w:r>
      <w:r w:rsidR="00EF0AD3" w:rsidRPr="003C6D3F">
        <w:rPr>
          <w:szCs w:val="24"/>
        </w:rPr>
        <w:t xml:space="preserve">result </w:t>
      </w:r>
      <w:r w:rsidR="00180FBB" w:rsidRPr="003C6D3F">
        <w:rPr>
          <w:szCs w:val="24"/>
        </w:rPr>
        <w:t xml:space="preserve">of </w:t>
      </w:r>
      <w:r w:rsidR="00EF0AD3" w:rsidRPr="003C6D3F">
        <w:rPr>
          <w:szCs w:val="24"/>
        </w:rPr>
        <w:t xml:space="preserve">a </w:t>
      </w:r>
      <w:r w:rsidR="0046526F">
        <w:rPr>
          <w:szCs w:val="24"/>
        </w:rPr>
        <w:t>mental health</w:t>
      </w:r>
      <w:r w:rsidR="009B0DD6">
        <w:rPr>
          <w:szCs w:val="24"/>
        </w:rPr>
        <w:t xml:space="preserve"> condition</w:t>
      </w:r>
      <w:r w:rsidR="00D710A6">
        <w:rPr>
          <w:szCs w:val="24"/>
        </w:rPr>
        <w:t xml:space="preserve"> amounting to a disability </w:t>
      </w:r>
      <w:r w:rsidR="00696A1A">
        <w:rPr>
          <w:szCs w:val="24"/>
        </w:rPr>
        <w:t xml:space="preserve">and </w:t>
      </w:r>
      <w:r w:rsidR="009E231C">
        <w:rPr>
          <w:szCs w:val="24"/>
        </w:rPr>
        <w:t xml:space="preserve">that </w:t>
      </w:r>
      <w:r w:rsidR="00696A1A">
        <w:rPr>
          <w:szCs w:val="24"/>
        </w:rPr>
        <w:t>that fact, as well as his</w:t>
      </w:r>
      <w:r w:rsidR="002E242F">
        <w:rPr>
          <w:szCs w:val="24"/>
        </w:rPr>
        <w:t xml:space="preserve"> Caribbean ethnicity, </w:t>
      </w:r>
      <w:r w:rsidR="00696A1A">
        <w:rPr>
          <w:szCs w:val="24"/>
        </w:rPr>
        <w:t>engaged section 149</w:t>
      </w:r>
      <w:r w:rsidR="00933745">
        <w:rPr>
          <w:szCs w:val="24"/>
        </w:rPr>
        <w:t xml:space="preserve">.  </w:t>
      </w:r>
      <w:r w:rsidR="00C94F33">
        <w:rPr>
          <w:szCs w:val="24"/>
        </w:rPr>
        <w:t>Mr Cross did not dispute that, so I will say no more about the point</w:t>
      </w:r>
      <w:r w:rsidR="00F632FD">
        <w:rPr>
          <w:szCs w:val="24"/>
        </w:rPr>
        <w:t>, which in any event does not affect the actual issues that we have to decide</w:t>
      </w:r>
      <w:r w:rsidR="00194CF7">
        <w:rPr>
          <w:szCs w:val="24"/>
        </w:rPr>
        <w:t>.</w:t>
      </w:r>
    </w:p>
    <w:p w14:paraId="359ECBFA" w14:textId="6EBF67F6" w:rsidR="008F0F5A" w:rsidRDefault="00C6082E" w:rsidP="00972118">
      <w:pPr>
        <w:pStyle w:val="ParaLevel1"/>
        <w:rPr>
          <w:szCs w:val="24"/>
        </w:rPr>
      </w:pPr>
      <w:r w:rsidRPr="008F0F5A">
        <w:rPr>
          <w:color w:val="000000"/>
          <w:szCs w:val="24"/>
        </w:rPr>
        <w:t xml:space="preserve">There was some discussion in the course of the hearing </w:t>
      </w:r>
      <w:r w:rsidR="001B1EE0" w:rsidRPr="008F0F5A">
        <w:rPr>
          <w:color w:val="000000"/>
          <w:szCs w:val="24"/>
        </w:rPr>
        <w:t xml:space="preserve">about </w:t>
      </w:r>
      <w:r w:rsidR="000B0768" w:rsidRPr="008F0F5A">
        <w:rPr>
          <w:color w:val="000000"/>
          <w:szCs w:val="24"/>
        </w:rPr>
        <w:t xml:space="preserve">how </w:t>
      </w:r>
      <w:r w:rsidR="001B2C25" w:rsidRPr="008F0F5A">
        <w:rPr>
          <w:color w:val="000000"/>
          <w:szCs w:val="24"/>
        </w:rPr>
        <w:t>much</w:t>
      </w:r>
      <w:r w:rsidR="000B0768" w:rsidRPr="008F0F5A">
        <w:rPr>
          <w:color w:val="000000"/>
          <w:szCs w:val="24"/>
        </w:rPr>
        <w:t xml:space="preserve"> scope there really was</w:t>
      </w:r>
      <w:r w:rsidR="00853F52" w:rsidRPr="008F0F5A">
        <w:rPr>
          <w:color w:val="000000"/>
          <w:szCs w:val="24"/>
        </w:rPr>
        <w:t xml:space="preserve"> for</w:t>
      </w:r>
      <w:r w:rsidR="000B0768" w:rsidRPr="008F0F5A">
        <w:rPr>
          <w:color w:val="000000"/>
          <w:szCs w:val="24"/>
        </w:rPr>
        <w:t xml:space="preserve"> </w:t>
      </w:r>
      <w:r w:rsidR="007E411A" w:rsidRPr="008F0F5A">
        <w:rPr>
          <w:color w:val="000000"/>
          <w:szCs w:val="24"/>
        </w:rPr>
        <w:t>the PSED</w:t>
      </w:r>
      <w:r w:rsidR="000B0768" w:rsidRPr="008F0F5A">
        <w:rPr>
          <w:color w:val="000000"/>
          <w:szCs w:val="24"/>
        </w:rPr>
        <w:t xml:space="preserve"> to affect </w:t>
      </w:r>
      <w:r w:rsidR="0078163B">
        <w:rPr>
          <w:color w:val="000000"/>
          <w:szCs w:val="24"/>
        </w:rPr>
        <w:t>individu</w:t>
      </w:r>
      <w:r w:rsidR="007E411A" w:rsidRPr="008F0F5A">
        <w:rPr>
          <w:color w:val="000000"/>
          <w:szCs w:val="24"/>
        </w:rPr>
        <w:t xml:space="preserve">al </w:t>
      </w:r>
      <w:r w:rsidR="00100724">
        <w:rPr>
          <w:color w:val="000000"/>
          <w:szCs w:val="24"/>
        </w:rPr>
        <w:t xml:space="preserve">(permanent) </w:t>
      </w:r>
      <w:r w:rsidR="001B2C25" w:rsidRPr="008F0F5A">
        <w:rPr>
          <w:color w:val="000000"/>
          <w:szCs w:val="24"/>
        </w:rPr>
        <w:t>exclusion decisions</w:t>
      </w:r>
      <w:r w:rsidR="00217A45" w:rsidRPr="008F0F5A">
        <w:rPr>
          <w:color w:val="000000"/>
          <w:szCs w:val="24"/>
        </w:rPr>
        <w:t xml:space="preserve">.  </w:t>
      </w:r>
      <w:r w:rsidR="00E671F3" w:rsidRPr="008F0F5A">
        <w:rPr>
          <w:color w:val="000000"/>
          <w:szCs w:val="24"/>
        </w:rPr>
        <w:t xml:space="preserve">It is one thing to </w:t>
      </w:r>
      <w:r w:rsidR="00DB4E23" w:rsidRPr="008F0F5A">
        <w:rPr>
          <w:color w:val="000000"/>
          <w:szCs w:val="24"/>
        </w:rPr>
        <w:t xml:space="preserve">say </w:t>
      </w:r>
      <w:r w:rsidR="00992D26" w:rsidRPr="008F0F5A">
        <w:rPr>
          <w:color w:val="000000"/>
          <w:szCs w:val="24"/>
        </w:rPr>
        <w:t>that</w:t>
      </w:r>
      <w:r w:rsidR="00DB4E23" w:rsidRPr="008F0F5A">
        <w:rPr>
          <w:color w:val="000000"/>
          <w:szCs w:val="24"/>
        </w:rPr>
        <w:t xml:space="preserve">, in the light </w:t>
      </w:r>
      <w:r w:rsidR="00053ED5" w:rsidRPr="008F0F5A">
        <w:rPr>
          <w:color w:val="000000"/>
          <w:szCs w:val="24"/>
        </w:rPr>
        <w:t xml:space="preserve">of </w:t>
      </w:r>
      <w:r w:rsidR="00920E30" w:rsidRPr="008F0F5A">
        <w:rPr>
          <w:color w:val="000000"/>
          <w:szCs w:val="24"/>
        </w:rPr>
        <w:t>the d</w:t>
      </w:r>
      <w:r w:rsidR="00053ED5" w:rsidRPr="008F0F5A">
        <w:rPr>
          <w:color w:val="000000"/>
          <w:szCs w:val="24"/>
        </w:rPr>
        <w:t xml:space="preserve">isproportionate </w:t>
      </w:r>
      <w:r w:rsidR="00D01F12" w:rsidRPr="008F0F5A">
        <w:rPr>
          <w:color w:val="000000"/>
          <w:szCs w:val="24"/>
        </w:rPr>
        <w:t xml:space="preserve">exclusion </w:t>
      </w:r>
      <w:r w:rsidR="007E7907" w:rsidRPr="008F0F5A">
        <w:rPr>
          <w:color w:val="000000"/>
          <w:szCs w:val="24"/>
        </w:rPr>
        <w:t xml:space="preserve">rates for </w:t>
      </w:r>
      <w:r w:rsidR="00853F52" w:rsidRPr="008F0F5A">
        <w:rPr>
          <w:color w:val="000000"/>
          <w:szCs w:val="24"/>
        </w:rPr>
        <w:t xml:space="preserve">high-risk </w:t>
      </w:r>
      <w:r w:rsidR="00D7568A" w:rsidRPr="008F0F5A">
        <w:rPr>
          <w:color w:val="000000"/>
          <w:szCs w:val="24"/>
        </w:rPr>
        <w:t>pupils</w:t>
      </w:r>
      <w:r w:rsidR="008E20B9" w:rsidRPr="008F0F5A">
        <w:rPr>
          <w:color w:val="000000"/>
          <w:szCs w:val="24"/>
        </w:rPr>
        <w:t xml:space="preserve">, </w:t>
      </w:r>
      <w:r w:rsidR="00853F52" w:rsidRPr="008F0F5A">
        <w:rPr>
          <w:color w:val="000000"/>
          <w:szCs w:val="24"/>
        </w:rPr>
        <w:t>section 149 (1) (b)</w:t>
      </w:r>
      <w:r w:rsidR="007E411A" w:rsidRPr="008F0F5A">
        <w:rPr>
          <w:color w:val="000000"/>
          <w:szCs w:val="24"/>
        </w:rPr>
        <w:t xml:space="preserve"> requires </w:t>
      </w:r>
      <w:r w:rsidR="008E20B9" w:rsidRPr="008F0F5A">
        <w:rPr>
          <w:color w:val="000000"/>
          <w:szCs w:val="24"/>
        </w:rPr>
        <w:t xml:space="preserve">schools </w:t>
      </w:r>
      <w:r w:rsidR="007E411A" w:rsidRPr="008F0F5A">
        <w:rPr>
          <w:color w:val="000000"/>
          <w:szCs w:val="24"/>
        </w:rPr>
        <w:t>to</w:t>
      </w:r>
      <w:r w:rsidR="008E20B9" w:rsidRPr="008F0F5A">
        <w:rPr>
          <w:color w:val="000000"/>
          <w:szCs w:val="24"/>
        </w:rPr>
        <w:t xml:space="preserve"> </w:t>
      </w:r>
      <w:r w:rsidR="00561B19" w:rsidRPr="008F0F5A">
        <w:rPr>
          <w:color w:val="000000"/>
          <w:szCs w:val="24"/>
        </w:rPr>
        <w:t xml:space="preserve">consider </w:t>
      </w:r>
      <w:r w:rsidR="00EB2053" w:rsidRPr="008F0F5A">
        <w:rPr>
          <w:color w:val="000000"/>
          <w:szCs w:val="24"/>
        </w:rPr>
        <w:t xml:space="preserve">early intervention and other policies </w:t>
      </w:r>
      <w:r w:rsidR="009A1DC9">
        <w:rPr>
          <w:color w:val="000000"/>
          <w:szCs w:val="24"/>
        </w:rPr>
        <w:t xml:space="preserve">for such pupils </w:t>
      </w:r>
      <w:r w:rsidR="003D699D">
        <w:rPr>
          <w:color w:val="000000"/>
          <w:szCs w:val="24"/>
        </w:rPr>
        <w:t>which may</w:t>
      </w:r>
      <w:r w:rsidR="00100724">
        <w:rPr>
          <w:color w:val="000000"/>
          <w:szCs w:val="24"/>
        </w:rPr>
        <w:t xml:space="preserve"> </w:t>
      </w:r>
      <w:r w:rsidR="003D699D">
        <w:rPr>
          <w:color w:val="000000"/>
          <w:szCs w:val="24"/>
        </w:rPr>
        <w:t>reduce the risk of</w:t>
      </w:r>
      <w:r w:rsidR="007B3B84">
        <w:rPr>
          <w:color w:val="000000"/>
          <w:szCs w:val="24"/>
        </w:rPr>
        <w:t xml:space="preserve"> them</w:t>
      </w:r>
      <w:r w:rsidR="0048163E">
        <w:rPr>
          <w:color w:val="000000"/>
          <w:szCs w:val="24"/>
        </w:rPr>
        <w:t xml:space="preserve"> behaving in a way which </w:t>
      </w:r>
      <w:r w:rsidR="003D699D">
        <w:rPr>
          <w:color w:val="000000"/>
          <w:szCs w:val="24"/>
        </w:rPr>
        <w:t>may l</w:t>
      </w:r>
      <w:r w:rsidR="0048163E">
        <w:rPr>
          <w:color w:val="000000"/>
          <w:szCs w:val="24"/>
        </w:rPr>
        <w:t>ead to exclusion</w:t>
      </w:r>
      <w:r w:rsidR="00EF59D3" w:rsidRPr="008F0F5A">
        <w:rPr>
          <w:color w:val="000000"/>
          <w:szCs w:val="24"/>
        </w:rPr>
        <w:t>.</w:t>
      </w:r>
      <w:r w:rsidR="00D710A6">
        <w:rPr>
          <w:color w:val="000000"/>
          <w:szCs w:val="24"/>
        </w:rPr>
        <w:t xml:space="preserve">  </w:t>
      </w:r>
      <w:r w:rsidR="00B10C8E" w:rsidRPr="008F0F5A">
        <w:rPr>
          <w:color w:val="000000"/>
          <w:szCs w:val="24"/>
        </w:rPr>
        <w:t xml:space="preserve">But the situation is different where </w:t>
      </w:r>
      <w:r w:rsidR="00207E20">
        <w:rPr>
          <w:color w:val="000000"/>
          <w:szCs w:val="24"/>
        </w:rPr>
        <w:t xml:space="preserve">such behaviour has in fact occurred, and </w:t>
      </w:r>
      <w:r w:rsidR="00105229" w:rsidRPr="008F0F5A">
        <w:rPr>
          <w:color w:val="000000"/>
          <w:szCs w:val="24"/>
        </w:rPr>
        <w:t xml:space="preserve">the </w:t>
      </w:r>
      <w:r w:rsidR="00FB05D4" w:rsidRPr="008F0F5A">
        <w:rPr>
          <w:color w:val="000000"/>
          <w:szCs w:val="24"/>
        </w:rPr>
        <w:t>school is having to decide whether a pupil should be permanently excluded.</w:t>
      </w:r>
      <w:r w:rsidR="00EA616D">
        <w:rPr>
          <w:rStyle w:val="FootnoteReference"/>
          <w:color w:val="000000"/>
          <w:szCs w:val="24"/>
        </w:rPr>
        <w:footnoteReference w:id="5"/>
      </w:r>
      <w:r w:rsidR="00FB05D4" w:rsidRPr="008F0F5A">
        <w:rPr>
          <w:color w:val="000000"/>
          <w:szCs w:val="24"/>
        </w:rPr>
        <w:t xml:space="preserve">  That will, as the Guidance makes clear, only be being considered as a last resort, where </w:t>
      </w:r>
      <w:r w:rsidR="00233FA5" w:rsidRPr="008F0F5A">
        <w:rPr>
          <w:color w:val="000000"/>
          <w:szCs w:val="24"/>
        </w:rPr>
        <w:t xml:space="preserve">the pupil has committed </w:t>
      </w:r>
      <w:r w:rsidR="00AF3648" w:rsidRPr="008F0F5A">
        <w:rPr>
          <w:color w:val="000000"/>
          <w:szCs w:val="24"/>
        </w:rPr>
        <w:t xml:space="preserve">serious misconduct and </w:t>
      </w:r>
      <w:r w:rsidR="00D710A6">
        <w:rPr>
          <w:color w:val="000000"/>
          <w:szCs w:val="24"/>
        </w:rPr>
        <w:t>where a</w:t>
      </w:r>
      <w:r w:rsidR="00AF3648" w:rsidRPr="008F0F5A">
        <w:rPr>
          <w:color w:val="000000"/>
          <w:szCs w:val="24"/>
        </w:rPr>
        <w:t xml:space="preserve">llowing them to remain in </w:t>
      </w:r>
      <w:r w:rsidR="00040037" w:rsidRPr="008F0F5A">
        <w:rPr>
          <w:color w:val="000000"/>
          <w:szCs w:val="24"/>
        </w:rPr>
        <w:t xml:space="preserve">the school would cause serious harm.  </w:t>
      </w:r>
      <w:r w:rsidR="00D363A4" w:rsidRPr="008F0F5A">
        <w:rPr>
          <w:szCs w:val="24"/>
        </w:rPr>
        <w:t xml:space="preserve">If those criteria are </w:t>
      </w:r>
      <w:r w:rsidR="00BA0FCA" w:rsidRPr="008F0F5A">
        <w:rPr>
          <w:szCs w:val="24"/>
        </w:rPr>
        <w:t xml:space="preserve">truly </w:t>
      </w:r>
      <w:r w:rsidR="00D363A4" w:rsidRPr="008F0F5A">
        <w:rPr>
          <w:szCs w:val="24"/>
        </w:rPr>
        <w:t xml:space="preserve">satisfied, </w:t>
      </w:r>
      <w:r w:rsidR="00B03CD3" w:rsidRPr="008F0F5A">
        <w:rPr>
          <w:szCs w:val="24"/>
        </w:rPr>
        <w:t xml:space="preserve">it might be thought that </w:t>
      </w:r>
      <w:r w:rsidR="00E01DFA" w:rsidRPr="008F0F5A">
        <w:rPr>
          <w:szCs w:val="24"/>
        </w:rPr>
        <w:t>the</w:t>
      </w:r>
      <w:r w:rsidR="005F4E20">
        <w:rPr>
          <w:szCs w:val="24"/>
        </w:rPr>
        <w:t xml:space="preserve"> pupil</w:t>
      </w:r>
      <w:r w:rsidR="00B03CD3" w:rsidRPr="008F0F5A">
        <w:rPr>
          <w:szCs w:val="24"/>
        </w:rPr>
        <w:t xml:space="preserve"> would have</w:t>
      </w:r>
      <w:r w:rsidR="00F945FC" w:rsidRPr="008F0F5A">
        <w:rPr>
          <w:szCs w:val="24"/>
        </w:rPr>
        <w:t xml:space="preserve"> to be excluded </w:t>
      </w:r>
      <w:r w:rsidR="00EE2A17" w:rsidRPr="008F0F5A">
        <w:rPr>
          <w:szCs w:val="24"/>
        </w:rPr>
        <w:t xml:space="preserve">even if </w:t>
      </w:r>
      <w:r w:rsidR="0051568B" w:rsidRPr="008F0F5A">
        <w:rPr>
          <w:szCs w:val="24"/>
        </w:rPr>
        <w:t>they come fro</w:t>
      </w:r>
      <w:r w:rsidR="002B55C4" w:rsidRPr="008F0F5A">
        <w:rPr>
          <w:szCs w:val="24"/>
        </w:rPr>
        <w:t xml:space="preserve">m </w:t>
      </w:r>
      <w:r w:rsidR="00D84B0F" w:rsidRPr="008F0F5A">
        <w:rPr>
          <w:szCs w:val="24"/>
        </w:rPr>
        <w:t>a high-risk</w:t>
      </w:r>
      <w:r w:rsidR="002B55C4" w:rsidRPr="008F0F5A">
        <w:rPr>
          <w:szCs w:val="24"/>
        </w:rPr>
        <w:t xml:space="preserve"> group</w:t>
      </w:r>
      <w:r w:rsidR="00F8200A" w:rsidRPr="008F0F5A">
        <w:rPr>
          <w:szCs w:val="24"/>
        </w:rPr>
        <w:t xml:space="preserve"> </w:t>
      </w:r>
      <w:r w:rsidR="00845A10" w:rsidRPr="008F0F5A">
        <w:rPr>
          <w:szCs w:val="24"/>
        </w:rPr>
        <w:t>and</w:t>
      </w:r>
      <w:r w:rsidR="001865CB" w:rsidRPr="008F0F5A">
        <w:rPr>
          <w:szCs w:val="24"/>
        </w:rPr>
        <w:t xml:space="preserve"> even if</w:t>
      </w:r>
      <w:r w:rsidR="00A67EA7" w:rsidRPr="008F0F5A">
        <w:rPr>
          <w:szCs w:val="24"/>
        </w:rPr>
        <w:t xml:space="preserve"> </w:t>
      </w:r>
      <w:r w:rsidR="008405D3" w:rsidRPr="008F0F5A">
        <w:rPr>
          <w:szCs w:val="24"/>
        </w:rPr>
        <w:t>the</w:t>
      </w:r>
      <w:r w:rsidR="00805100" w:rsidRPr="008F0F5A">
        <w:rPr>
          <w:szCs w:val="24"/>
        </w:rPr>
        <w:t xml:space="preserve">re were steps that the school had </w:t>
      </w:r>
      <w:r w:rsidR="00133CAF" w:rsidRPr="008F0F5A">
        <w:rPr>
          <w:szCs w:val="24"/>
        </w:rPr>
        <w:t xml:space="preserve">failed to take in the past which might have </w:t>
      </w:r>
      <w:r w:rsidR="00105229" w:rsidRPr="008F0F5A">
        <w:rPr>
          <w:szCs w:val="24"/>
        </w:rPr>
        <w:t xml:space="preserve">prevented the crisis </w:t>
      </w:r>
      <w:r w:rsidR="006C0EE1" w:rsidRPr="008F0F5A">
        <w:rPr>
          <w:szCs w:val="24"/>
        </w:rPr>
        <w:t>point being reached</w:t>
      </w:r>
      <w:r w:rsidR="00471A61" w:rsidRPr="008F0F5A">
        <w:rPr>
          <w:szCs w:val="24"/>
        </w:rPr>
        <w:t>.</w:t>
      </w:r>
    </w:p>
    <w:p w14:paraId="51B9F36D" w14:textId="5D366D56" w:rsidR="000105AC" w:rsidRPr="00854A24" w:rsidRDefault="00AB2D1D" w:rsidP="00972118">
      <w:pPr>
        <w:pStyle w:val="ParaLevel1"/>
        <w:rPr>
          <w:szCs w:val="24"/>
        </w:rPr>
      </w:pPr>
      <w:r w:rsidRPr="00854A24">
        <w:rPr>
          <w:szCs w:val="24"/>
        </w:rPr>
        <w:t xml:space="preserve">I see some force in that point.  </w:t>
      </w:r>
      <w:r w:rsidR="009A5693" w:rsidRPr="00854A24">
        <w:rPr>
          <w:szCs w:val="24"/>
        </w:rPr>
        <w:t>There will certainly be cases where the seriousness of the pupil</w:t>
      </w:r>
      <w:r w:rsidR="00C67E24" w:rsidRPr="00854A24">
        <w:rPr>
          <w:szCs w:val="24"/>
        </w:rPr>
        <w:t xml:space="preserve">’s conduct </w:t>
      </w:r>
      <w:r w:rsidR="005F54AC">
        <w:rPr>
          <w:szCs w:val="24"/>
        </w:rPr>
        <w:t>and/or</w:t>
      </w:r>
      <w:r w:rsidR="00C67E24" w:rsidRPr="00854A24">
        <w:rPr>
          <w:szCs w:val="24"/>
        </w:rPr>
        <w:t xml:space="preserve"> the har</w:t>
      </w:r>
      <w:r w:rsidR="00A71CE5" w:rsidRPr="00854A24">
        <w:rPr>
          <w:szCs w:val="24"/>
        </w:rPr>
        <w:t>m</w:t>
      </w:r>
      <w:r w:rsidR="00C67E24" w:rsidRPr="00854A24">
        <w:rPr>
          <w:szCs w:val="24"/>
        </w:rPr>
        <w:t xml:space="preserve"> to the school of allowing them to remain </w:t>
      </w:r>
      <w:r w:rsidR="00703D94" w:rsidRPr="00854A24">
        <w:rPr>
          <w:szCs w:val="24"/>
        </w:rPr>
        <w:t xml:space="preserve">will be such that it can make no difference that they belong to a high-risk group or </w:t>
      </w:r>
      <w:r w:rsidR="00A71CE5" w:rsidRPr="00854A24">
        <w:rPr>
          <w:szCs w:val="24"/>
        </w:rPr>
        <w:t xml:space="preserve">that they may have </w:t>
      </w:r>
      <w:r w:rsidR="00DB52EB" w:rsidRPr="00854A24">
        <w:rPr>
          <w:szCs w:val="24"/>
        </w:rPr>
        <w:t xml:space="preserve">received inadequate support in the past.  It may be, if schools </w:t>
      </w:r>
      <w:r w:rsidR="004306C1" w:rsidRPr="00854A24">
        <w:rPr>
          <w:szCs w:val="24"/>
        </w:rPr>
        <w:t xml:space="preserve">truly </w:t>
      </w:r>
      <w:r w:rsidR="00DB52EB" w:rsidRPr="00854A24">
        <w:rPr>
          <w:szCs w:val="24"/>
        </w:rPr>
        <w:t xml:space="preserve">treat </w:t>
      </w:r>
      <w:r w:rsidR="004306C1" w:rsidRPr="00854A24">
        <w:rPr>
          <w:szCs w:val="24"/>
        </w:rPr>
        <w:t xml:space="preserve">permanent exclusion as a last resort, that those cases will be the great majority.  </w:t>
      </w:r>
      <w:r w:rsidR="00943785" w:rsidRPr="00854A24">
        <w:rPr>
          <w:szCs w:val="24"/>
        </w:rPr>
        <w:t xml:space="preserve">However, it would be wrong to </w:t>
      </w:r>
      <w:r w:rsidR="00854A24">
        <w:rPr>
          <w:szCs w:val="24"/>
        </w:rPr>
        <w:t xml:space="preserve">treat the </w:t>
      </w:r>
      <w:r w:rsidR="00965777" w:rsidRPr="00854A24">
        <w:rPr>
          <w:rFonts w:asciiTheme="majorBidi" w:hAnsiTheme="majorBidi" w:cstheme="majorBidi"/>
          <w:szCs w:val="24"/>
        </w:rPr>
        <w:t xml:space="preserve">two-fold </w:t>
      </w:r>
      <w:r w:rsidR="00A62CBF" w:rsidRPr="00854A24">
        <w:rPr>
          <w:rFonts w:asciiTheme="majorBidi" w:hAnsiTheme="majorBidi" w:cstheme="majorBidi"/>
          <w:szCs w:val="24"/>
        </w:rPr>
        <w:t>test</w:t>
      </w:r>
      <w:r w:rsidR="00965777" w:rsidRPr="00854A24">
        <w:rPr>
          <w:rFonts w:asciiTheme="majorBidi" w:hAnsiTheme="majorBidi" w:cstheme="majorBidi"/>
          <w:szCs w:val="24"/>
        </w:rPr>
        <w:t xml:space="preserve"> </w:t>
      </w:r>
      <w:r w:rsidR="00854A24">
        <w:rPr>
          <w:rFonts w:asciiTheme="majorBidi" w:hAnsiTheme="majorBidi" w:cstheme="majorBidi"/>
          <w:szCs w:val="24"/>
        </w:rPr>
        <w:t xml:space="preserve">as </w:t>
      </w:r>
      <w:r w:rsidR="00707202">
        <w:rPr>
          <w:rFonts w:asciiTheme="majorBidi" w:hAnsiTheme="majorBidi" w:cstheme="majorBidi"/>
          <w:szCs w:val="24"/>
        </w:rPr>
        <w:t>entirely definitive or entirely</w:t>
      </w:r>
      <w:r w:rsidR="00BB1882">
        <w:rPr>
          <w:rFonts w:asciiTheme="majorBidi" w:hAnsiTheme="majorBidi" w:cstheme="majorBidi"/>
          <w:szCs w:val="24"/>
        </w:rPr>
        <w:t xml:space="preserve"> hard-edged.  For one thing, it </w:t>
      </w:r>
      <w:r w:rsidR="00A62CBF" w:rsidRPr="00854A24">
        <w:rPr>
          <w:rFonts w:asciiTheme="majorBidi" w:hAnsiTheme="majorBidi" w:cstheme="majorBidi"/>
          <w:szCs w:val="24"/>
        </w:rPr>
        <w:t>sets a minimum threshold for permanent exclusion</w:t>
      </w:r>
      <w:r w:rsidR="00ED0225" w:rsidRPr="00854A24">
        <w:rPr>
          <w:rFonts w:asciiTheme="majorBidi" w:hAnsiTheme="majorBidi" w:cstheme="majorBidi"/>
          <w:szCs w:val="24"/>
        </w:rPr>
        <w:t xml:space="preserve">: it does not say that in every case where it is met </w:t>
      </w:r>
      <w:r w:rsidR="00F22A8B" w:rsidRPr="00854A24">
        <w:rPr>
          <w:rFonts w:asciiTheme="majorBidi" w:hAnsiTheme="majorBidi" w:cstheme="majorBidi"/>
          <w:szCs w:val="24"/>
        </w:rPr>
        <w:t>the pupil must be excluded.</w:t>
      </w:r>
      <w:r w:rsidR="00C252F7" w:rsidRPr="00854A24">
        <w:rPr>
          <w:rFonts w:asciiTheme="majorBidi" w:hAnsiTheme="majorBidi" w:cstheme="majorBidi"/>
          <w:szCs w:val="24"/>
        </w:rPr>
        <w:t xml:space="preserve">  </w:t>
      </w:r>
      <w:r w:rsidR="00BB1882">
        <w:rPr>
          <w:rFonts w:asciiTheme="majorBidi" w:hAnsiTheme="majorBidi" w:cstheme="majorBidi"/>
          <w:szCs w:val="24"/>
        </w:rPr>
        <w:t xml:space="preserve">For another, </w:t>
      </w:r>
      <w:r w:rsidR="004A69E4">
        <w:rPr>
          <w:rFonts w:asciiTheme="majorBidi" w:hAnsiTheme="majorBidi" w:cstheme="majorBidi"/>
          <w:szCs w:val="24"/>
        </w:rPr>
        <w:t xml:space="preserve">“serious” is </w:t>
      </w:r>
      <w:r w:rsidR="009C1C28">
        <w:rPr>
          <w:rFonts w:asciiTheme="majorBidi" w:hAnsiTheme="majorBidi" w:cstheme="majorBidi"/>
          <w:szCs w:val="24"/>
        </w:rPr>
        <w:t>a</w:t>
      </w:r>
      <w:r w:rsidR="006B6CEC">
        <w:rPr>
          <w:rFonts w:asciiTheme="majorBidi" w:hAnsiTheme="majorBidi" w:cstheme="majorBidi"/>
          <w:szCs w:val="24"/>
        </w:rPr>
        <w:t xml:space="preserve">n imprecise term requiring a judgment by the decision-maker which can properly involve </w:t>
      </w:r>
      <w:r w:rsidR="00E7339E">
        <w:rPr>
          <w:rFonts w:asciiTheme="majorBidi" w:hAnsiTheme="majorBidi" w:cstheme="majorBidi"/>
          <w:szCs w:val="24"/>
        </w:rPr>
        <w:t>considerations</w:t>
      </w:r>
      <w:r w:rsidR="006B6CEC">
        <w:rPr>
          <w:rFonts w:asciiTheme="majorBidi" w:hAnsiTheme="majorBidi" w:cstheme="majorBidi"/>
          <w:szCs w:val="24"/>
        </w:rPr>
        <w:t xml:space="preserve"> of proportionality</w:t>
      </w:r>
      <w:r w:rsidR="00CE3BA7">
        <w:rPr>
          <w:rFonts w:asciiTheme="majorBidi" w:hAnsiTheme="majorBidi" w:cstheme="majorBidi"/>
          <w:szCs w:val="24"/>
        </w:rPr>
        <w:t xml:space="preserve"> and </w:t>
      </w:r>
      <w:r w:rsidR="003566D4">
        <w:rPr>
          <w:rFonts w:asciiTheme="majorBidi" w:hAnsiTheme="majorBidi" w:cstheme="majorBidi"/>
          <w:szCs w:val="24"/>
        </w:rPr>
        <w:t xml:space="preserve">extenuating circumstances.  </w:t>
      </w:r>
      <w:r w:rsidR="00B50C20">
        <w:rPr>
          <w:rFonts w:asciiTheme="majorBidi" w:hAnsiTheme="majorBidi" w:cstheme="majorBidi"/>
          <w:szCs w:val="24"/>
        </w:rPr>
        <w:t>For a third, we are concerned with guidance rather than legislation</w:t>
      </w:r>
      <w:r w:rsidR="00742217">
        <w:rPr>
          <w:rFonts w:asciiTheme="majorBidi" w:hAnsiTheme="majorBidi" w:cstheme="majorBidi"/>
          <w:szCs w:val="24"/>
        </w:rPr>
        <w:t xml:space="preserve">.  There is therefore room </w:t>
      </w:r>
      <w:r w:rsidR="00E56952">
        <w:rPr>
          <w:rFonts w:asciiTheme="majorBidi" w:hAnsiTheme="majorBidi" w:cstheme="majorBidi"/>
          <w:szCs w:val="24"/>
        </w:rPr>
        <w:t>in principle for</w:t>
      </w:r>
      <w:r w:rsidR="00404736">
        <w:rPr>
          <w:rFonts w:asciiTheme="majorBidi" w:hAnsiTheme="majorBidi" w:cstheme="majorBidi"/>
          <w:szCs w:val="24"/>
        </w:rPr>
        <w:t xml:space="preserve"> schools to take into account</w:t>
      </w:r>
      <w:r w:rsidR="00095216">
        <w:rPr>
          <w:rFonts w:asciiTheme="majorBidi" w:hAnsiTheme="majorBidi" w:cstheme="majorBidi"/>
          <w:szCs w:val="24"/>
        </w:rPr>
        <w:t xml:space="preserve"> </w:t>
      </w:r>
      <w:r w:rsidR="00A918D4">
        <w:rPr>
          <w:rFonts w:asciiTheme="majorBidi" w:hAnsiTheme="majorBidi" w:cstheme="majorBidi"/>
          <w:szCs w:val="24"/>
        </w:rPr>
        <w:t xml:space="preserve">the fact (if established) that </w:t>
      </w:r>
      <w:r w:rsidR="00971DD4">
        <w:rPr>
          <w:rFonts w:asciiTheme="majorBidi" w:hAnsiTheme="majorBidi" w:cstheme="majorBidi"/>
          <w:szCs w:val="24"/>
        </w:rPr>
        <w:t>a</w:t>
      </w:r>
      <w:r w:rsidR="00A918D4">
        <w:rPr>
          <w:rFonts w:asciiTheme="majorBidi" w:hAnsiTheme="majorBidi" w:cstheme="majorBidi"/>
          <w:szCs w:val="24"/>
        </w:rPr>
        <w:t xml:space="preserve"> pupil has received inadequate support in the past</w:t>
      </w:r>
      <w:r w:rsidR="00323042">
        <w:rPr>
          <w:rFonts w:asciiTheme="majorBidi" w:hAnsiTheme="majorBidi" w:cstheme="majorBidi"/>
          <w:szCs w:val="24"/>
        </w:rPr>
        <w:t xml:space="preserve">, though the extent </w:t>
      </w:r>
      <w:r w:rsidR="00F05EDD">
        <w:rPr>
          <w:rFonts w:asciiTheme="majorBidi" w:hAnsiTheme="majorBidi" w:cstheme="majorBidi"/>
          <w:szCs w:val="24"/>
        </w:rPr>
        <w:t>t</w:t>
      </w:r>
      <w:r w:rsidR="00323042">
        <w:rPr>
          <w:rFonts w:asciiTheme="majorBidi" w:hAnsiTheme="majorBidi" w:cstheme="majorBidi"/>
          <w:szCs w:val="24"/>
        </w:rPr>
        <w:t xml:space="preserve">o which it can make a difference </w:t>
      </w:r>
      <w:r w:rsidR="00F05EDD">
        <w:rPr>
          <w:rFonts w:asciiTheme="majorBidi" w:hAnsiTheme="majorBidi" w:cstheme="majorBidi"/>
          <w:szCs w:val="24"/>
        </w:rPr>
        <w:t>will depend on the circumstances of the case.</w:t>
      </w:r>
      <w:r w:rsidR="00A918D4">
        <w:rPr>
          <w:rFonts w:asciiTheme="majorBidi" w:hAnsiTheme="majorBidi" w:cstheme="majorBidi"/>
          <w:szCs w:val="24"/>
        </w:rPr>
        <w:t xml:space="preserve"> </w:t>
      </w:r>
    </w:p>
    <w:p w14:paraId="002EC1F9" w14:textId="71EA6D35" w:rsidR="00AC0B12" w:rsidRPr="007D1D8D" w:rsidRDefault="00F05EDD" w:rsidP="00972118">
      <w:pPr>
        <w:pStyle w:val="ParaLevel1"/>
        <w:rPr>
          <w:szCs w:val="24"/>
        </w:rPr>
      </w:pPr>
      <w:r>
        <w:t>I would only add that, although th</w:t>
      </w:r>
      <w:r w:rsidR="009211EE">
        <w:t xml:space="preserve">e </w:t>
      </w:r>
      <w:r w:rsidR="00A06385">
        <w:t xml:space="preserve">PSED may in that way be engaged in </w:t>
      </w:r>
      <w:r w:rsidR="007221E5">
        <w:t>the taking of individual exclusion decisions</w:t>
      </w:r>
      <w:r w:rsidR="00880B43">
        <w:t>,</w:t>
      </w:r>
      <w:r w:rsidR="007221E5">
        <w:t xml:space="preserve"> I am not sure </w:t>
      </w:r>
      <w:r w:rsidR="0017558F">
        <w:t>how much</w:t>
      </w:r>
      <w:r w:rsidR="007221E5">
        <w:t xml:space="preserve"> it adds as a matter of substance</w:t>
      </w:r>
      <w:r w:rsidR="00880B43">
        <w:t xml:space="preserve"> to the considerations which a school would have to take into account in any event.</w:t>
      </w:r>
      <w:r w:rsidR="006802A4">
        <w:t xml:space="preserve">  The high-risk groups </w:t>
      </w:r>
      <w:r w:rsidR="00ED3A4F">
        <w:t>identified in p</w:t>
      </w:r>
      <w:r w:rsidR="00D15A8A">
        <w:t xml:space="preserve">ara. 21 of the Guidance </w:t>
      </w:r>
      <w:r w:rsidR="00ED3A4F">
        <w:t>do not consist only of</w:t>
      </w:r>
      <w:r w:rsidR="007951CD">
        <w:t xml:space="preserve"> pupils with protected characteristics</w:t>
      </w:r>
      <w:r w:rsidR="00223C48">
        <w:t xml:space="preserve"> within the meaning of the 2010 Act;</w:t>
      </w:r>
      <w:r w:rsidR="002D1D73">
        <w:t xml:space="preserve"> and </w:t>
      </w:r>
      <w:r w:rsidR="00A6176C">
        <w:t xml:space="preserve">if </w:t>
      </w:r>
      <w:r w:rsidR="002D1D73">
        <w:t xml:space="preserve">in breach of para. 22 </w:t>
      </w:r>
      <w:r w:rsidR="005726E0">
        <w:t>such a pupil</w:t>
      </w:r>
      <w:r w:rsidR="002D1D73">
        <w:t xml:space="preserve"> ha</w:t>
      </w:r>
      <w:r w:rsidR="005726E0">
        <w:t>s</w:t>
      </w:r>
      <w:r w:rsidR="003A082F">
        <w:t xml:space="preserve"> received inadequate support </w:t>
      </w:r>
      <w:r w:rsidR="005461A7">
        <w:t>in the past</w:t>
      </w:r>
      <w:r w:rsidR="002D1D73">
        <w:t xml:space="preserve"> </w:t>
      </w:r>
      <w:r w:rsidR="00A6176C">
        <w:t xml:space="preserve">that would in </w:t>
      </w:r>
      <w:r w:rsidR="00223C48">
        <w:t>principle</w:t>
      </w:r>
      <w:r w:rsidR="00A6176C">
        <w:t xml:space="preserve"> be a relevant </w:t>
      </w:r>
      <w:r w:rsidR="005461A7">
        <w:t>factor</w:t>
      </w:r>
      <w:r w:rsidR="00A6176C">
        <w:t xml:space="preserve"> in an exclusion decision </w:t>
      </w:r>
      <w:r w:rsidR="00425512">
        <w:t>irrespective of the PSED</w:t>
      </w:r>
      <w:r w:rsidR="00223C48">
        <w:t xml:space="preserve">.  </w:t>
      </w:r>
      <w:r w:rsidR="00E1105C">
        <w:t xml:space="preserve">I say this </w:t>
      </w:r>
      <w:r w:rsidR="00223C48">
        <w:t xml:space="preserve">not </w:t>
      </w:r>
      <w:r w:rsidR="00025C01">
        <w:t xml:space="preserve">in order to downplay the importance of the PSED </w:t>
      </w:r>
      <w:r w:rsidR="008B414D">
        <w:t xml:space="preserve">generally </w:t>
      </w:r>
      <w:r w:rsidR="009A7BEB">
        <w:t xml:space="preserve">but because I am concerned that </w:t>
      </w:r>
      <w:r w:rsidR="001308C1">
        <w:t xml:space="preserve">an undue focus on it </w:t>
      </w:r>
      <w:r w:rsidR="00D627E8">
        <w:t xml:space="preserve">may risk over-complicating, and over-legalising, the </w:t>
      </w:r>
      <w:r w:rsidR="00CE1BB8">
        <w:t>decision-making process in exclusion cases</w:t>
      </w:r>
      <w:r w:rsidR="006F304E">
        <w:rPr>
          <w:color w:val="000000"/>
          <w:szCs w:val="24"/>
        </w:rPr>
        <w:t>.</w:t>
      </w:r>
      <w:r w:rsidR="00AC58A4">
        <w:rPr>
          <w:color w:val="000000"/>
          <w:szCs w:val="24"/>
        </w:rPr>
        <w:t xml:space="preserve">  </w:t>
      </w:r>
      <w:r w:rsidR="003832F5">
        <w:rPr>
          <w:rFonts w:asciiTheme="majorBidi" w:hAnsiTheme="majorBidi" w:cstheme="majorBidi"/>
          <w:szCs w:val="24"/>
        </w:rPr>
        <w:t xml:space="preserve">  </w:t>
      </w:r>
      <w:r w:rsidR="00C93E90">
        <w:rPr>
          <w:rFonts w:asciiTheme="majorBidi" w:hAnsiTheme="majorBidi" w:cstheme="majorBidi"/>
          <w:szCs w:val="24"/>
        </w:rPr>
        <w:t xml:space="preserve"> </w:t>
      </w:r>
      <w:r w:rsidR="00EE2CF8">
        <w:rPr>
          <w:color w:val="000000"/>
          <w:szCs w:val="24"/>
        </w:rPr>
        <w:t xml:space="preserve"> </w:t>
      </w:r>
      <w:r w:rsidR="00622D0E">
        <w:rPr>
          <w:szCs w:val="24"/>
        </w:rPr>
        <w:t xml:space="preserve">  </w:t>
      </w:r>
    </w:p>
    <w:p w14:paraId="5BE61F53" w14:textId="033E319F" w:rsidR="00F557B3" w:rsidRDefault="008B414D" w:rsidP="00972118">
      <w:pPr>
        <w:pStyle w:val="ParaLevel1"/>
        <w:numPr>
          <w:ilvl w:val="0"/>
          <w:numId w:val="0"/>
        </w:numPr>
        <w:rPr>
          <w:szCs w:val="24"/>
        </w:rPr>
      </w:pPr>
      <w:r>
        <w:rPr>
          <w:szCs w:val="24"/>
          <w:u w:val="single"/>
        </w:rPr>
        <w:t xml:space="preserve">THE </w:t>
      </w:r>
      <w:r w:rsidR="00F557B3">
        <w:rPr>
          <w:szCs w:val="24"/>
          <w:u w:val="single"/>
        </w:rPr>
        <w:t xml:space="preserve">CONSIDERATION OF THE PSED </w:t>
      </w:r>
      <w:r>
        <w:rPr>
          <w:szCs w:val="24"/>
          <w:u w:val="single"/>
        </w:rPr>
        <w:t>IN TZB’s CASE</w:t>
      </w:r>
    </w:p>
    <w:p w14:paraId="7F22CDEF" w14:textId="317262D9" w:rsidR="003365F4" w:rsidRPr="00EB3A33" w:rsidRDefault="003365F4" w:rsidP="00972118">
      <w:pPr>
        <w:pStyle w:val="ParaLevel1"/>
        <w:numPr>
          <w:ilvl w:val="0"/>
          <w:numId w:val="0"/>
        </w:numPr>
        <w:ind w:left="720" w:hanging="720"/>
        <w:rPr>
          <w:szCs w:val="24"/>
          <w:u w:val="single"/>
        </w:rPr>
      </w:pPr>
      <w:r>
        <w:rPr>
          <w:szCs w:val="24"/>
          <w:u w:val="single"/>
        </w:rPr>
        <w:t>The Exclusion Letter</w:t>
      </w:r>
    </w:p>
    <w:p w14:paraId="13F43F9A" w14:textId="2FE02C3E" w:rsidR="001B6477" w:rsidRDefault="005925B1" w:rsidP="00972118">
      <w:pPr>
        <w:pStyle w:val="ParaLevel1"/>
        <w:rPr>
          <w:szCs w:val="24"/>
        </w:rPr>
      </w:pPr>
      <w:r>
        <w:rPr>
          <w:szCs w:val="24"/>
        </w:rPr>
        <w:t>The</w:t>
      </w:r>
      <w:r w:rsidR="00E529EA">
        <w:rPr>
          <w:szCs w:val="24"/>
        </w:rPr>
        <w:t xml:space="preserve"> </w:t>
      </w:r>
      <w:r>
        <w:rPr>
          <w:szCs w:val="24"/>
        </w:rPr>
        <w:t xml:space="preserve">central plank of the Claimant’s case is that </w:t>
      </w:r>
      <w:r w:rsidR="007D1678">
        <w:rPr>
          <w:szCs w:val="24"/>
        </w:rPr>
        <w:t>the exclusion letter</w:t>
      </w:r>
      <w:r w:rsidR="00F16A15">
        <w:rPr>
          <w:szCs w:val="24"/>
        </w:rPr>
        <w:t xml:space="preserve"> </w:t>
      </w:r>
      <w:r w:rsidR="001977CB">
        <w:rPr>
          <w:szCs w:val="24"/>
        </w:rPr>
        <w:t>do</w:t>
      </w:r>
      <w:r w:rsidR="007000D9">
        <w:rPr>
          <w:szCs w:val="24"/>
        </w:rPr>
        <w:t>es not include any express reference to the PSED</w:t>
      </w:r>
      <w:r w:rsidR="00CF399D">
        <w:rPr>
          <w:szCs w:val="24"/>
        </w:rPr>
        <w:t xml:space="preserve">.  </w:t>
      </w:r>
      <w:r w:rsidR="0035649D">
        <w:rPr>
          <w:szCs w:val="24"/>
        </w:rPr>
        <w:t xml:space="preserve">Although that is undisputed, I need </w:t>
      </w:r>
      <w:r w:rsidR="00CF399D">
        <w:rPr>
          <w:szCs w:val="24"/>
        </w:rPr>
        <w:t xml:space="preserve">nevertheless </w:t>
      </w:r>
      <w:r w:rsidR="0035649D">
        <w:rPr>
          <w:szCs w:val="24"/>
        </w:rPr>
        <w:t xml:space="preserve">to summarise what </w:t>
      </w:r>
      <w:r w:rsidR="00D710A6">
        <w:rPr>
          <w:szCs w:val="24"/>
        </w:rPr>
        <w:t>the letter</w:t>
      </w:r>
      <w:r w:rsidR="0035649D">
        <w:rPr>
          <w:szCs w:val="24"/>
        </w:rPr>
        <w:t xml:space="preserve"> says</w:t>
      </w:r>
      <w:r w:rsidR="00CF399D">
        <w:rPr>
          <w:szCs w:val="24"/>
        </w:rPr>
        <w:t xml:space="preserve">.  </w:t>
      </w:r>
    </w:p>
    <w:p w14:paraId="1191F012" w14:textId="77777777" w:rsidR="00556834" w:rsidRDefault="001B6477" w:rsidP="00972118">
      <w:pPr>
        <w:pStyle w:val="ParaLevel1"/>
        <w:rPr>
          <w:szCs w:val="24"/>
        </w:rPr>
      </w:pPr>
      <w:r>
        <w:rPr>
          <w:szCs w:val="24"/>
        </w:rPr>
        <w:t xml:space="preserve">I should set out the </w:t>
      </w:r>
      <w:r w:rsidR="00615811">
        <w:rPr>
          <w:szCs w:val="24"/>
        </w:rPr>
        <w:t xml:space="preserve">opening paragraphs of the letter in full.  They read:  </w:t>
      </w:r>
    </w:p>
    <w:p w14:paraId="7713595B" w14:textId="731C6805" w:rsidR="00E17B63" w:rsidRDefault="00837B09" w:rsidP="00972118">
      <w:pPr>
        <w:pStyle w:val="ParaLevel1"/>
        <w:numPr>
          <w:ilvl w:val="0"/>
          <w:numId w:val="0"/>
        </w:numPr>
        <w:ind w:left="1418" w:right="793"/>
        <w:rPr>
          <w:sz w:val="22"/>
          <w:szCs w:val="22"/>
          <w:lang w:val="en-US"/>
        </w:rPr>
      </w:pPr>
      <w:r>
        <w:rPr>
          <w:lang w:val="en-US"/>
        </w:rPr>
        <w:t>“</w:t>
      </w:r>
      <w:r w:rsidR="00E17B63">
        <w:rPr>
          <w:lang w:val="en-US"/>
        </w:rPr>
        <w:t xml:space="preserve">I regret to inform you that I am permanently excluding </w:t>
      </w:r>
      <w:r>
        <w:rPr>
          <w:lang w:val="en-US"/>
        </w:rPr>
        <w:t>[TZB]</w:t>
      </w:r>
      <w:r w:rsidR="00F1597F">
        <w:rPr>
          <w:lang w:val="en-US"/>
        </w:rPr>
        <w:t xml:space="preserve"> </w:t>
      </w:r>
      <w:r w:rsidR="00E17B63">
        <w:rPr>
          <w:lang w:val="en-US"/>
        </w:rPr>
        <w:t>from [the] School from Thursday 14 May 2021 because of his wholly unacceptable behaviour.</w:t>
      </w:r>
    </w:p>
    <w:p w14:paraId="3C57E0A9" w14:textId="6BD70A36" w:rsidR="00E17B63" w:rsidRDefault="00E17B63" w:rsidP="00972118">
      <w:pPr>
        <w:pStyle w:val="ParaLevel1"/>
        <w:numPr>
          <w:ilvl w:val="0"/>
          <w:numId w:val="0"/>
        </w:numPr>
        <w:ind w:left="1418" w:right="793"/>
        <w:rPr>
          <w:lang w:val="en-US"/>
        </w:rPr>
      </w:pPr>
      <w:r>
        <w:rPr>
          <w:lang w:val="en-US"/>
        </w:rPr>
        <w:t xml:space="preserve">The behaviour for which </w:t>
      </w:r>
      <w:r w:rsidR="001A66C8">
        <w:rPr>
          <w:lang w:val="en-US"/>
        </w:rPr>
        <w:t xml:space="preserve">[TZB] </w:t>
      </w:r>
      <w:r>
        <w:rPr>
          <w:lang w:val="en-US"/>
        </w:rPr>
        <w:t xml:space="preserve">is being excluded is two acts of physical violence towards members of the school community during two separate incidents on Thursday 6 May.  I have no doubt that permanent exclusion is the right sanction given the seriousness of the breach of </w:t>
      </w:r>
      <w:r w:rsidR="00D772C4">
        <w:rPr>
          <w:lang w:val="en-US"/>
        </w:rPr>
        <w:t xml:space="preserve">the </w:t>
      </w:r>
      <w:r>
        <w:rPr>
          <w:lang w:val="en-US"/>
        </w:rPr>
        <w:t xml:space="preserve">school’s </w:t>
      </w:r>
      <w:r w:rsidRPr="00E0771D">
        <w:rPr>
          <w:lang w:val="en-US"/>
        </w:rPr>
        <w:t>Behaviour</w:t>
      </w:r>
      <w:r>
        <w:rPr>
          <w:lang w:val="en-US"/>
        </w:rPr>
        <w:t xml:space="preserve"> Policy and that the risk to the welfare and education of others were I not to exclude permanently would not be acceptable.</w:t>
      </w:r>
    </w:p>
    <w:p w14:paraId="12527CC1" w14:textId="7F78EC10" w:rsidR="00E17B63" w:rsidRDefault="00E17B63" w:rsidP="00972118">
      <w:pPr>
        <w:pStyle w:val="ParaLevel1"/>
        <w:numPr>
          <w:ilvl w:val="0"/>
          <w:numId w:val="0"/>
        </w:numPr>
        <w:ind w:left="1418" w:right="793"/>
        <w:rPr>
          <w:lang w:val="en-US"/>
        </w:rPr>
      </w:pPr>
      <w:r>
        <w:rPr>
          <w:lang w:val="en-US"/>
        </w:rPr>
        <w:t xml:space="preserve">I give further details of the circumstances leading to this exclusion under </w:t>
      </w:r>
      <w:r w:rsidR="002B227E">
        <w:rPr>
          <w:lang w:val="en-US"/>
        </w:rPr>
        <w:t>‘</w:t>
      </w:r>
      <w:r>
        <w:rPr>
          <w:lang w:val="en-US"/>
        </w:rPr>
        <w:t>[TZB’s] Misconduct/Physical Assaults’</w:t>
      </w:r>
      <w:r w:rsidR="002B227E">
        <w:rPr>
          <w:lang w:val="en-US"/>
        </w:rPr>
        <w:t>.</w:t>
      </w:r>
      <w:r>
        <w:rPr>
          <w:lang w:val="en-US"/>
        </w:rPr>
        <w:t xml:space="preserve"> </w:t>
      </w:r>
      <w:r w:rsidR="002B227E">
        <w:rPr>
          <w:lang w:val="en-US"/>
        </w:rPr>
        <w:t>U</w:t>
      </w:r>
      <w:r>
        <w:rPr>
          <w:lang w:val="en-US"/>
        </w:rPr>
        <w:t xml:space="preserve">nder ‘Disciplinary Record and Background’ I also detail </w:t>
      </w:r>
      <w:r w:rsidR="00C648F4">
        <w:rPr>
          <w:lang w:val="en-US"/>
        </w:rPr>
        <w:t xml:space="preserve">[TZB’s] </w:t>
      </w:r>
      <w:r>
        <w:rPr>
          <w:lang w:val="en-US"/>
        </w:rPr>
        <w:t>whole school record.  I do this for two reasons.</w:t>
      </w:r>
    </w:p>
    <w:p w14:paraId="0188A4ED" w14:textId="5D051D38" w:rsidR="00E17B63" w:rsidRDefault="00E17B63" w:rsidP="00972118">
      <w:pPr>
        <w:pStyle w:val="ParaLevel1"/>
        <w:numPr>
          <w:ilvl w:val="0"/>
          <w:numId w:val="0"/>
        </w:numPr>
        <w:ind w:left="1418" w:right="793"/>
        <w:rPr>
          <w:lang w:val="en-US"/>
        </w:rPr>
      </w:pPr>
      <w:r>
        <w:rPr>
          <w:lang w:val="en-US"/>
        </w:rPr>
        <w:t xml:space="preserve">Firstly, having concluded that a serious breach of discipline has occurred, before deciding to exclude, I am required to consider the risk </w:t>
      </w:r>
      <w:r w:rsidR="003368FE">
        <w:rPr>
          <w:lang w:val="en-US"/>
        </w:rPr>
        <w:t xml:space="preserve">to </w:t>
      </w:r>
      <w:r>
        <w:rPr>
          <w:lang w:val="en-US"/>
        </w:rPr>
        <w:t xml:space="preserve">the education and welfare of others in allowing </w:t>
      </w:r>
      <w:r w:rsidR="001A66C8">
        <w:rPr>
          <w:lang w:val="en-US"/>
        </w:rPr>
        <w:t xml:space="preserve">[TZB] </w:t>
      </w:r>
      <w:r>
        <w:rPr>
          <w:lang w:val="en-US"/>
        </w:rPr>
        <w:t>to remain in the school.  Whilst I believe [TZB’s] behaviour in the incidents of Thursday 6 May are enough in themselves to justify my decision that his continued presence would present an unacceptable risk to the welfare and education of others, his poorer wider conduct, and the effect of previous sanctions employed by the school as a result of such behaviour are relevant considerations.</w:t>
      </w:r>
    </w:p>
    <w:p w14:paraId="722BBD09" w14:textId="3C63AF40" w:rsidR="00E17B63" w:rsidRDefault="00E17B63" w:rsidP="003D699D">
      <w:pPr>
        <w:pStyle w:val="ParaLevel1"/>
        <w:numPr>
          <w:ilvl w:val="0"/>
          <w:numId w:val="0"/>
        </w:numPr>
        <w:ind w:left="1418" w:right="794"/>
        <w:rPr>
          <w:lang w:val="en-US"/>
        </w:rPr>
      </w:pPr>
      <w:r>
        <w:rPr>
          <w:lang w:val="en-US"/>
        </w:rPr>
        <w:t>Secondly, whilst I have no doubt that physically assaulting members of our community is in itself sufficiently serious to warrant permanent exclusion, should it be asserted that it is not, I would ask consideration be given to the totality of [TZB’s] school record as set out in this letter and the effect of previous sanctions.  Repeated acts of physical assault towards members of the school community justify permanent exclusion even if the events of Thursday 6 May do not on their own.</w:t>
      </w:r>
      <w:r w:rsidR="00837B09">
        <w:rPr>
          <w:lang w:val="en-US"/>
        </w:rPr>
        <w:t>”</w:t>
      </w:r>
      <w:r w:rsidR="00A72327">
        <w:rPr>
          <w:rStyle w:val="FootnoteReference"/>
          <w:lang w:val="en-US"/>
        </w:rPr>
        <w:footnoteReference w:id="6"/>
      </w:r>
    </w:p>
    <w:p w14:paraId="6D4532BB" w14:textId="7EE7C0BC" w:rsidR="004F79DD" w:rsidRDefault="009457BD" w:rsidP="00972118">
      <w:pPr>
        <w:pStyle w:val="ParaLevel1"/>
        <w:rPr>
          <w:szCs w:val="24"/>
        </w:rPr>
      </w:pPr>
      <w:r w:rsidRPr="00CA3AB1">
        <w:rPr>
          <w:szCs w:val="24"/>
        </w:rPr>
        <w:t xml:space="preserve">The next section of the letter gives details of both assaults.  </w:t>
      </w:r>
      <w:r w:rsidR="0021086A" w:rsidRPr="00CA3AB1">
        <w:rPr>
          <w:szCs w:val="24"/>
        </w:rPr>
        <w:t xml:space="preserve">I </w:t>
      </w:r>
      <w:r w:rsidR="00F33C51" w:rsidRPr="00CA3AB1">
        <w:rPr>
          <w:szCs w:val="24"/>
        </w:rPr>
        <w:t>should</w:t>
      </w:r>
      <w:r w:rsidR="0021086A" w:rsidRPr="00CA3AB1">
        <w:rPr>
          <w:szCs w:val="24"/>
        </w:rPr>
        <w:t xml:space="preserve"> summarise </w:t>
      </w:r>
      <w:r w:rsidR="00933666" w:rsidRPr="00CA3AB1">
        <w:rPr>
          <w:szCs w:val="24"/>
        </w:rPr>
        <w:t>the essentials.  T</w:t>
      </w:r>
      <w:r w:rsidR="00803420" w:rsidRPr="00CA3AB1">
        <w:rPr>
          <w:szCs w:val="24"/>
        </w:rPr>
        <w:t xml:space="preserve">he first assault </w:t>
      </w:r>
      <w:r w:rsidR="00B76C13" w:rsidRPr="00CA3AB1">
        <w:rPr>
          <w:szCs w:val="24"/>
        </w:rPr>
        <w:t xml:space="preserve">occurred </w:t>
      </w:r>
      <w:r w:rsidR="00B44891" w:rsidRPr="00CA3AB1">
        <w:rPr>
          <w:szCs w:val="24"/>
        </w:rPr>
        <w:t>following a text interchange</w:t>
      </w:r>
      <w:r w:rsidR="00B76C13" w:rsidRPr="00CA3AB1">
        <w:rPr>
          <w:szCs w:val="24"/>
        </w:rPr>
        <w:t xml:space="preserve"> </w:t>
      </w:r>
      <w:r w:rsidR="0021086A" w:rsidRPr="00CA3AB1">
        <w:rPr>
          <w:szCs w:val="24"/>
        </w:rPr>
        <w:t xml:space="preserve">with the victim </w:t>
      </w:r>
      <w:r w:rsidR="00B76C13" w:rsidRPr="00CA3AB1">
        <w:rPr>
          <w:szCs w:val="24"/>
        </w:rPr>
        <w:t xml:space="preserve">the previous day.  </w:t>
      </w:r>
      <w:r w:rsidR="0021086A" w:rsidRPr="00CA3AB1">
        <w:rPr>
          <w:szCs w:val="24"/>
        </w:rPr>
        <w:t>TZB</w:t>
      </w:r>
      <w:r w:rsidR="000028DF" w:rsidRPr="00CA3AB1">
        <w:rPr>
          <w:szCs w:val="24"/>
        </w:rPr>
        <w:t xml:space="preserve"> arranged to meet him at </w:t>
      </w:r>
      <w:r w:rsidR="00162BCE" w:rsidRPr="00CA3AB1">
        <w:rPr>
          <w:szCs w:val="24"/>
        </w:rPr>
        <w:t>lunchtime</w:t>
      </w:r>
      <w:r w:rsidR="000028DF" w:rsidRPr="00CA3AB1">
        <w:rPr>
          <w:szCs w:val="24"/>
        </w:rPr>
        <w:t xml:space="preserve"> in the toilets </w:t>
      </w:r>
      <w:r w:rsidR="007F281F" w:rsidRPr="00CA3AB1">
        <w:rPr>
          <w:szCs w:val="24"/>
        </w:rPr>
        <w:t>and, with another student, punched</w:t>
      </w:r>
      <w:r w:rsidR="00162BCE" w:rsidRPr="00CA3AB1">
        <w:rPr>
          <w:szCs w:val="24"/>
        </w:rPr>
        <w:t xml:space="preserve"> him</w:t>
      </w:r>
      <w:r w:rsidR="000B3959" w:rsidRPr="00CA3AB1">
        <w:rPr>
          <w:szCs w:val="24"/>
        </w:rPr>
        <w:t xml:space="preserve"> several times and then kicked him in the face while he was on the ground.  </w:t>
      </w:r>
      <w:r w:rsidR="00DE296E" w:rsidRPr="00CA3AB1">
        <w:rPr>
          <w:szCs w:val="24"/>
        </w:rPr>
        <w:t xml:space="preserve">The second assault occurred </w:t>
      </w:r>
      <w:r w:rsidR="00622DDA" w:rsidRPr="00CA3AB1">
        <w:rPr>
          <w:szCs w:val="24"/>
        </w:rPr>
        <w:t xml:space="preserve">just outside the school at </w:t>
      </w:r>
      <w:r w:rsidR="00902A31" w:rsidRPr="00CA3AB1">
        <w:rPr>
          <w:szCs w:val="24"/>
        </w:rPr>
        <w:t>the end of the day as students were leaving.  The victim was a student who had interven</w:t>
      </w:r>
      <w:r w:rsidR="00272A41" w:rsidRPr="00CA3AB1">
        <w:rPr>
          <w:szCs w:val="24"/>
        </w:rPr>
        <w:t>ed to stop the earlier assault.  The principal assault was committed by an “outsider” whom TZB had engaged to attack the victim</w:t>
      </w:r>
      <w:r w:rsidR="00A73393" w:rsidRPr="00CA3AB1">
        <w:rPr>
          <w:szCs w:val="24"/>
        </w:rPr>
        <w:t>,</w:t>
      </w:r>
      <w:r w:rsidR="00272A41" w:rsidRPr="00CA3AB1">
        <w:rPr>
          <w:szCs w:val="24"/>
        </w:rPr>
        <w:t xml:space="preserve"> but TZB was also directly involved.</w:t>
      </w:r>
      <w:r w:rsidR="000C4A7A">
        <w:rPr>
          <w:szCs w:val="24"/>
        </w:rPr>
        <w:t xml:space="preserve">  </w:t>
      </w:r>
    </w:p>
    <w:p w14:paraId="4B04A6F1" w14:textId="0F246E19" w:rsidR="00BD19D2" w:rsidRPr="000C4A7A" w:rsidRDefault="00780714" w:rsidP="00972118">
      <w:pPr>
        <w:pStyle w:val="ParaLevel1"/>
        <w:rPr>
          <w:szCs w:val="24"/>
        </w:rPr>
      </w:pPr>
      <w:r w:rsidRPr="000C4A7A">
        <w:rPr>
          <w:szCs w:val="24"/>
        </w:rPr>
        <w:t xml:space="preserve">It is right to </w:t>
      </w:r>
      <w:r w:rsidR="00FA7BB7" w:rsidRPr="000C4A7A">
        <w:rPr>
          <w:szCs w:val="24"/>
        </w:rPr>
        <w:t xml:space="preserve">record that </w:t>
      </w:r>
      <w:r w:rsidR="00632E2C" w:rsidRPr="000C4A7A">
        <w:rPr>
          <w:szCs w:val="24"/>
        </w:rPr>
        <w:t>the Claimant</w:t>
      </w:r>
      <w:r w:rsidR="00E70EC2">
        <w:rPr>
          <w:szCs w:val="24"/>
        </w:rPr>
        <w:t xml:space="preserve"> and TZB do not accept what the exclusion letter says about the two assaults.  They say that there were</w:t>
      </w:r>
      <w:r w:rsidR="00197574" w:rsidRPr="000C4A7A">
        <w:rPr>
          <w:szCs w:val="24"/>
        </w:rPr>
        <w:t xml:space="preserve"> circumstances mitigating </w:t>
      </w:r>
      <w:r w:rsidR="00F33C51" w:rsidRPr="000C4A7A">
        <w:rPr>
          <w:szCs w:val="24"/>
        </w:rPr>
        <w:t xml:space="preserve">the </w:t>
      </w:r>
      <w:r w:rsidR="00197574">
        <w:rPr>
          <w:szCs w:val="24"/>
        </w:rPr>
        <w:t xml:space="preserve">culpability of </w:t>
      </w:r>
      <w:r w:rsidR="00F33C51" w:rsidRPr="000C4A7A">
        <w:rPr>
          <w:szCs w:val="24"/>
        </w:rPr>
        <w:t xml:space="preserve">the first assault </w:t>
      </w:r>
      <w:r w:rsidR="00197574">
        <w:rPr>
          <w:szCs w:val="24"/>
        </w:rPr>
        <w:t xml:space="preserve">and that the </w:t>
      </w:r>
      <w:r w:rsidR="00197574" w:rsidRPr="000C4A7A">
        <w:rPr>
          <w:szCs w:val="24"/>
        </w:rPr>
        <w:t xml:space="preserve">extent of TZB’s involvement </w:t>
      </w:r>
      <w:r w:rsidR="00197574">
        <w:rPr>
          <w:szCs w:val="24"/>
        </w:rPr>
        <w:t xml:space="preserve">is </w:t>
      </w:r>
      <w:r w:rsidR="00F33C51" w:rsidRPr="000C4A7A">
        <w:rPr>
          <w:szCs w:val="24"/>
        </w:rPr>
        <w:t>overstated; and that he had no involvement in the second assault</w:t>
      </w:r>
      <w:r w:rsidR="002C7C4A" w:rsidRPr="000C4A7A">
        <w:rPr>
          <w:szCs w:val="24"/>
        </w:rPr>
        <w:t>.</w:t>
      </w:r>
      <w:r w:rsidR="00C00653">
        <w:rPr>
          <w:szCs w:val="24"/>
        </w:rPr>
        <w:t xml:space="preserve">  But for the purpose of the issues in this case </w:t>
      </w:r>
      <w:r w:rsidR="000323C1">
        <w:rPr>
          <w:szCs w:val="24"/>
        </w:rPr>
        <w:t>the Headteacher’s account has to be accepted.</w:t>
      </w:r>
      <w:r w:rsidR="002C7C4A" w:rsidRPr="000C4A7A">
        <w:rPr>
          <w:szCs w:val="24"/>
        </w:rPr>
        <w:t xml:space="preserve"> </w:t>
      </w:r>
      <w:r w:rsidR="00CA3AB1" w:rsidRPr="000C4A7A">
        <w:rPr>
          <w:szCs w:val="24"/>
        </w:rPr>
        <w:t xml:space="preserve"> </w:t>
      </w:r>
      <w:r w:rsidR="00FA7BB7" w:rsidRPr="000C4A7A">
        <w:rPr>
          <w:szCs w:val="24"/>
        </w:rPr>
        <w:t xml:space="preserve"> </w:t>
      </w:r>
      <w:r w:rsidR="00272A41" w:rsidRPr="000C4A7A">
        <w:rPr>
          <w:szCs w:val="24"/>
        </w:rPr>
        <w:t xml:space="preserve">  </w:t>
      </w:r>
    </w:p>
    <w:p w14:paraId="470DBF70" w14:textId="4216D2A9" w:rsidR="00094852" w:rsidRDefault="00BD19D2" w:rsidP="00972118">
      <w:pPr>
        <w:pStyle w:val="ParaLevel1"/>
        <w:rPr>
          <w:szCs w:val="24"/>
        </w:rPr>
      </w:pPr>
      <w:r>
        <w:rPr>
          <w:szCs w:val="24"/>
        </w:rPr>
        <w:t xml:space="preserve">The next section </w:t>
      </w:r>
      <w:r w:rsidR="00154A16">
        <w:rPr>
          <w:szCs w:val="24"/>
        </w:rPr>
        <w:t xml:space="preserve">of the letter </w:t>
      </w:r>
      <w:r>
        <w:rPr>
          <w:szCs w:val="24"/>
        </w:rPr>
        <w:t xml:space="preserve">summarises TZB’s disciplinary record and behaviour.  Again, </w:t>
      </w:r>
      <w:r w:rsidR="00D02C72">
        <w:rPr>
          <w:szCs w:val="24"/>
        </w:rPr>
        <w:t xml:space="preserve">I </w:t>
      </w:r>
      <w:r w:rsidR="0021649A">
        <w:rPr>
          <w:szCs w:val="24"/>
        </w:rPr>
        <w:t xml:space="preserve">need not set it </w:t>
      </w:r>
      <w:r w:rsidR="0021086A">
        <w:rPr>
          <w:szCs w:val="24"/>
        </w:rPr>
        <w:t>out</w:t>
      </w:r>
      <w:r w:rsidR="0021649A">
        <w:rPr>
          <w:szCs w:val="24"/>
        </w:rPr>
        <w:t xml:space="preserve"> in full, but I note that </w:t>
      </w:r>
      <w:r w:rsidR="00B6226E">
        <w:rPr>
          <w:szCs w:val="24"/>
        </w:rPr>
        <w:t xml:space="preserve">he had </w:t>
      </w:r>
      <w:r w:rsidR="00886811">
        <w:rPr>
          <w:szCs w:val="24"/>
        </w:rPr>
        <w:t>been excluded on three previous occasions</w:t>
      </w:r>
      <w:r w:rsidR="00D710A6">
        <w:rPr>
          <w:szCs w:val="24"/>
        </w:rPr>
        <w:t xml:space="preserve"> for specified periods (so-called “fixed-term exclusions”)</w:t>
      </w:r>
      <w:r w:rsidR="00886811">
        <w:rPr>
          <w:szCs w:val="24"/>
        </w:rPr>
        <w:t xml:space="preserve">, two of them as a result of violent behaviour.  </w:t>
      </w:r>
      <w:r w:rsidR="009A4546">
        <w:rPr>
          <w:szCs w:val="24"/>
        </w:rPr>
        <w:t xml:space="preserve">The most </w:t>
      </w:r>
      <w:r w:rsidR="00F95D4E">
        <w:rPr>
          <w:szCs w:val="24"/>
        </w:rPr>
        <w:t>recent exclusion</w:t>
      </w:r>
      <w:r w:rsidR="00812E6C">
        <w:rPr>
          <w:szCs w:val="24"/>
        </w:rPr>
        <w:t>, for threatening behaviour and serious viole</w:t>
      </w:r>
      <w:r w:rsidR="004B598E">
        <w:rPr>
          <w:szCs w:val="24"/>
        </w:rPr>
        <w:t>nce,</w:t>
      </w:r>
      <w:r w:rsidR="00F95D4E">
        <w:rPr>
          <w:szCs w:val="24"/>
        </w:rPr>
        <w:t xml:space="preserve"> had been </w:t>
      </w:r>
      <w:r w:rsidR="004B598E">
        <w:rPr>
          <w:szCs w:val="24"/>
        </w:rPr>
        <w:t xml:space="preserve">on 29 March 2021, i.e. </w:t>
      </w:r>
      <w:r w:rsidR="00F95D4E">
        <w:rPr>
          <w:szCs w:val="24"/>
        </w:rPr>
        <w:t>only six weeks previously</w:t>
      </w:r>
      <w:r w:rsidR="004B598E">
        <w:rPr>
          <w:szCs w:val="24"/>
        </w:rPr>
        <w:t xml:space="preserve">.  He was excluded for five days and warned on his return </w:t>
      </w:r>
      <w:r w:rsidR="00D244C2">
        <w:rPr>
          <w:szCs w:val="24"/>
        </w:rPr>
        <w:t>that, as the le</w:t>
      </w:r>
      <w:r w:rsidR="00A4024C">
        <w:rPr>
          <w:szCs w:val="24"/>
        </w:rPr>
        <w:t>t</w:t>
      </w:r>
      <w:r w:rsidR="00D244C2">
        <w:rPr>
          <w:szCs w:val="24"/>
        </w:rPr>
        <w:t>ter put it, “</w:t>
      </w:r>
      <w:r w:rsidR="00D244C2" w:rsidRPr="00D244C2">
        <w:rPr>
          <w:szCs w:val="24"/>
        </w:rPr>
        <w:t>any repeat of such behaviour placed him at imminent risk of permanent exclusion</w:t>
      </w:r>
      <w:r w:rsidR="00A4024C">
        <w:rPr>
          <w:szCs w:val="24"/>
        </w:rPr>
        <w:t>”.  There had already been four other disciplinary incidents in March 2021</w:t>
      </w:r>
      <w:r w:rsidR="00F80F6C">
        <w:rPr>
          <w:szCs w:val="24"/>
        </w:rPr>
        <w:t>, the mos</w:t>
      </w:r>
      <w:r w:rsidR="007574BC">
        <w:rPr>
          <w:szCs w:val="24"/>
        </w:rPr>
        <w:t>t</w:t>
      </w:r>
      <w:r w:rsidR="00F80F6C">
        <w:rPr>
          <w:szCs w:val="24"/>
        </w:rPr>
        <w:t xml:space="preserve"> recent of which had consisted of </w:t>
      </w:r>
      <w:r w:rsidR="007574BC">
        <w:rPr>
          <w:szCs w:val="24"/>
        </w:rPr>
        <w:t>TZB using social media to incite revenge and violence, leading to a “physical altercation” with two other students.</w:t>
      </w:r>
      <w:r w:rsidR="00D710A6">
        <w:rPr>
          <w:szCs w:val="24"/>
        </w:rPr>
        <w:t xml:space="preserve">  </w:t>
      </w:r>
      <w:r w:rsidR="007574BC">
        <w:rPr>
          <w:szCs w:val="24"/>
        </w:rPr>
        <w:t xml:space="preserve">Ms Harrison </w:t>
      </w:r>
      <w:r w:rsidR="006053D3">
        <w:rPr>
          <w:szCs w:val="24"/>
        </w:rPr>
        <w:t xml:space="preserve">sensibly acknowledged that this record showed a deterioration in TZB’s behaviour in the </w:t>
      </w:r>
      <w:r w:rsidR="008C68B0">
        <w:rPr>
          <w:szCs w:val="24"/>
        </w:rPr>
        <w:t>weeks</w:t>
      </w:r>
      <w:r w:rsidR="006053D3">
        <w:rPr>
          <w:szCs w:val="24"/>
        </w:rPr>
        <w:t xml:space="preserve"> leading up to </w:t>
      </w:r>
      <w:r w:rsidR="00094852">
        <w:rPr>
          <w:szCs w:val="24"/>
        </w:rPr>
        <w:t>the exclusion</w:t>
      </w:r>
      <w:r w:rsidR="006053D3">
        <w:rPr>
          <w:szCs w:val="24"/>
        </w:rPr>
        <w:t xml:space="preserve">.  </w:t>
      </w:r>
    </w:p>
    <w:p w14:paraId="6ECDDA08" w14:textId="080884B1" w:rsidR="0013026A" w:rsidRDefault="00094852" w:rsidP="00972118">
      <w:pPr>
        <w:pStyle w:val="ParaLevel1"/>
        <w:rPr>
          <w:szCs w:val="24"/>
        </w:rPr>
      </w:pPr>
      <w:r>
        <w:rPr>
          <w:szCs w:val="24"/>
        </w:rPr>
        <w:t xml:space="preserve">The next section </w:t>
      </w:r>
      <w:r w:rsidR="00293F48">
        <w:rPr>
          <w:szCs w:val="24"/>
        </w:rPr>
        <w:t xml:space="preserve">of the letter records </w:t>
      </w:r>
      <w:r w:rsidR="00923577">
        <w:rPr>
          <w:szCs w:val="24"/>
        </w:rPr>
        <w:t xml:space="preserve">the </w:t>
      </w:r>
      <w:r w:rsidR="00435954">
        <w:rPr>
          <w:szCs w:val="24"/>
        </w:rPr>
        <w:t xml:space="preserve">extensive </w:t>
      </w:r>
      <w:r w:rsidR="00923577">
        <w:rPr>
          <w:szCs w:val="24"/>
        </w:rPr>
        <w:t xml:space="preserve">educational and pastoral support that TZB had received </w:t>
      </w:r>
      <w:r w:rsidR="00163A34">
        <w:rPr>
          <w:szCs w:val="24"/>
        </w:rPr>
        <w:t xml:space="preserve">since he joined the school in </w:t>
      </w:r>
      <w:r w:rsidR="00DF6B47">
        <w:rPr>
          <w:szCs w:val="24"/>
        </w:rPr>
        <w:t xml:space="preserve">September 2016.  </w:t>
      </w:r>
      <w:r w:rsidR="00435954">
        <w:rPr>
          <w:szCs w:val="24"/>
        </w:rPr>
        <w:t>There is a very full summary of that support at para. 10</w:t>
      </w:r>
      <w:r w:rsidR="00C54A77">
        <w:rPr>
          <w:szCs w:val="24"/>
        </w:rPr>
        <w:t>7</w:t>
      </w:r>
      <w:r w:rsidR="00435954">
        <w:rPr>
          <w:szCs w:val="24"/>
        </w:rPr>
        <w:t xml:space="preserve"> below and I need not give details here</w:t>
      </w:r>
      <w:r w:rsidR="00950885">
        <w:rPr>
          <w:szCs w:val="24"/>
        </w:rPr>
        <w:t xml:space="preserve">. </w:t>
      </w:r>
    </w:p>
    <w:p w14:paraId="650EB55B" w14:textId="543300C2" w:rsidR="0013026A" w:rsidRDefault="0013026A" w:rsidP="00972118">
      <w:pPr>
        <w:pStyle w:val="ParaLevel1"/>
        <w:rPr>
          <w:szCs w:val="24"/>
        </w:rPr>
      </w:pPr>
      <w:r>
        <w:rPr>
          <w:szCs w:val="24"/>
        </w:rPr>
        <w:t>The final substantive section of the letter, headed “Conclusion”</w:t>
      </w:r>
      <w:r w:rsidR="00D05990">
        <w:rPr>
          <w:szCs w:val="24"/>
        </w:rPr>
        <w:t>,</w:t>
      </w:r>
      <w:r>
        <w:rPr>
          <w:szCs w:val="24"/>
        </w:rPr>
        <w:t xml:space="preserve"> reads</w:t>
      </w:r>
      <w:r w:rsidR="00D05990">
        <w:rPr>
          <w:szCs w:val="24"/>
        </w:rPr>
        <w:t xml:space="preserve"> (so far as relevant)</w:t>
      </w:r>
      <w:r>
        <w:rPr>
          <w:szCs w:val="24"/>
        </w:rPr>
        <w:t>:</w:t>
      </w:r>
    </w:p>
    <w:p w14:paraId="495B9664" w14:textId="5945574D" w:rsidR="0013026A" w:rsidRDefault="00D05990" w:rsidP="00972118">
      <w:pPr>
        <w:pStyle w:val="ParaLevel1"/>
        <w:numPr>
          <w:ilvl w:val="0"/>
          <w:numId w:val="0"/>
        </w:numPr>
        <w:ind w:left="1418" w:right="793"/>
        <w:rPr>
          <w:szCs w:val="24"/>
        </w:rPr>
      </w:pPr>
      <w:r>
        <w:rPr>
          <w:szCs w:val="24"/>
        </w:rPr>
        <w:t>“</w:t>
      </w:r>
      <w:r w:rsidR="00EB5CE1" w:rsidRPr="00EB5CE1">
        <w:rPr>
          <w:szCs w:val="24"/>
        </w:rPr>
        <w:t xml:space="preserve">In reaching my decision I have ensured that a full and thorough investigation has taken place. </w:t>
      </w:r>
      <w:r w:rsidR="00996888">
        <w:rPr>
          <w:szCs w:val="24"/>
        </w:rPr>
        <w:t xml:space="preserve"> </w:t>
      </w:r>
      <w:r w:rsidR="00EB5CE1" w:rsidRPr="00EB5CE1">
        <w:rPr>
          <w:szCs w:val="24"/>
        </w:rPr>
        <w:t xml:space="preserve">I am satisfied that </w:t>
      </w:r>
      <w:r w:rsidR="002E7BE1">
        <w:rPr>
          <w:szCs w:val="24"/>
        </w:rPr>
        <w:t>[</w:t>
      </w:r>
      <w:r w:rsidR="00EB5CE1" w:rsidRPr="00EB5CE1">
        <w:rPr>
          <w:szCs w:val="24"/>
        </w:rPr>
        <w:t>T</w:t>
      </w:r>
      <w:r w:rsidR="005A2331">
        <w:rPr>
          <w:szCs w:val="24"/>
        </w:rPr>
        <w:t>Z</w:t>
      </w:r>
      <w:r w:rsidR="00EB5CE1" w:rsidRPr="00EB5CE1">
        <w:rPr>
          <w:szCs w:val="24"/>
        </w:rPr>
        <w:t>B</w:t>
      </w:r>
      <w:r w:rsidR="005A2331">
        <w:rPr>
          <w:szCs w:val="24"/>
        </w:rPr>
        <w:t>’</w:t>
      </w:r>
      <w:r w:rsidR="00EB5CE1" w:rsidRPr="00EB5CE1">
        <w:rPr>
          <w:szCs w:val="24"/>
        </w:rPr>
        <w:t>s</w:t>
      </w:r>
      <w:r w:rsidR="00996888">
        <w:rPr>
          <w:szCs w:val="24"/>
        </w:rPr>
        <w:t>]</w:t>
      </w:r>
      <w:r w:rsidR="005A2331">
        <w:rPr>
          <w:rStyle w:val="FootnoteReference"/>
          <w:szCs w:val="24"/>
        </w:rPr>
        <w:footnoteReference w:id="7"/>
      </w:r>
      <w:r w:rsidR="00EB5CE1" w:rsidRPr="00EB5CE1">
        <w:rPr>
          <w:szCs w:val="24"/>
        </w:rPr>
        <w:t xml:space="preserve"> actions represent serious breaches of the school</w:t>
      </w:r>
      <w:r w:rsidR="00996888">
        <w:rPr>
          <w:szCs w:val="24"/>
        </w:rPr>
        <w:t>’</w:t>
      </w:r>
      <w:r w:rsidR="00EB5CE1" w:rsidRPr="00EB5CE1">
        <w:rPr>
          <w:szCs w:val="24"/>
        </w:rPr>
        <w:t xml:space="preserve">s </w:t>
      </w:r>
      <w:r w:rsidR="00996888" w:rsidRPr="00EB5CE1">
        <w:rPr>
          <w:szCs w:val="24"/>
        </w:rPr>
        <w:t xml:space="preserve">Behaviour Policy </w:t>
      </w:r>
      <w:r w:rsidR="00EB5CE1" w:rsidRPr="00EB5CE1">
        <w:rPr>
          <w:szCs w:val="24"/>
        </w:rPr>
        <w:t xml:space="preserve">and that allowing him to remain in school would harm the education and welfare of other members of the school community. </w:t>
      </w:r>
      <w:r w:rsidR="00996888">
        <w:rPr>
          <w:szCs w:val="24"/>
        </w:rPr>
        <w:t xml:space="preserve"> </w:t>
      </w:r>
      <w:r w:rsidR="00EB5CE1" w:rsidRPr="00EB5CE1">
        <w:rPr>
          <w:szCs w:val="24"/>
        </w:rPr>
        <w:t>The nature of the exclusion reflects the seriousness of the incident</w:t>
      </w:r>
      <w:r>
        <w:rPr>
          <w:szCs w:val="24"/>
        </w:rPr>
        <w:t>s</w:t>
      </w:r>
      <w:r w:rsidR="00EB5CE1" w:rsidRPr="00EB5CE1">
        <w:rPr>
          <w:szCs w:val="24"/>
        </w:rPr>
        <w:t xml:space="preserve"> detailed above as well as </w:t>
      </w:r>
      <w:r w:rsidR="00996888">
        <w:rPr>
          <w:szCs w:val="24"/>
        </w:rPr>
        <w:t>[</w:t>
      </w:r>
      <w:r w:rsidR="005A2331">
        <w:rPr>
          <w:szCs w:val="24"/>
        </w:rPr>
        <w:t>TZB’s</w:t>
      </w:r>
      <w:r w:rsidR="00996888">
        <w:rPr>
          <w:szCs w:val="24"/>
        </w:rPr>
        <w:t>]</w:t>
      </w:r>
      <w:r w:rsidR="00EB5CE1" w:rsidRPr="00EB5CE1">
        <w:rPr>
          <w:szCs w:val="24"/>
        </w:rPr>
        <w:t xml:space="preserve"> previous conduct. </w:t>
      </w:r>
      <w:r>
        <w:rPr>
          <w:szCs w:val="24"/>
        </w:rPr>
        <w:t xml:space="preserve"> …”</w:t>
      </w:r>
    </w:p>
    <w:p w14:paraId="629982C1" w14:textId="3C1F4C13" w:rsidR="00842C3E" w:rsidRDefault="00842C3E" w:rsidP="00972118">
      <w:pPr>
        <w:pStyle w:val="ParaLevel1"/>
        <w:numPr>
          <w:ilvl w:val="0"/>
          <w:numId w:val="0"/>
        </w:numPr>
        <w:ind w:left="720"/>
        <w:rPr>
          <w:szCs w:val="24"/>
        </w:rPr>
      </w:pPr>
      <w:r>
        <w:rPr>
          <w:szCs w:val="24"/>
        </w:rPr>
        <w:t>There follow</w:t>
      </w:r>
      <w:r w:rsidR="00345DDE">
        <w:rPr>
          <w:szCs w:val="24"/>
        </w:rPr>
        <w:t>s</w:t>
      </w:r>
      <w:r>
        <w:rPr>
          <w:szCs w:val="24"/>
        </w:rPr>
        <w:t xml:space="preserve"> a section setting out the </w:t>
      </w:r>
      <w:r w:rsidR="009D18F2">
        <w:rPr>
          <w:szCs w:val="24"/>
        </w:rPr>
        <w:t>review procedure and other formal matters.</w:t>
      </w:r>
      <w:r>
        <w:rPr>
          <w:szCs w:val="24"/>
        </w:rPr>
        <w:t xml:space="preserve"> </w:t>
      </w:r>
    </w:p>
    <w:p w14:paraId="78E3A7F1" w14:textId="6D88BB9A" w:rsidR="005D2C6B" w:rsidRPr="005D2C6B" w:rsidRDefault="00CB07D1" w:rsidP="00972118">
      <w:pPr>
        <w:pStyle w:val="ParaLevel1"/>
        <w:numPr>
          <w:ilvl w:val="0"/>
          <w:numId w:val="0"/>
        </w:numPr>
        <w:ind w:left="720" w:hanging="720"/>
        <w:rPr>
          <w:szCs w:val="24"/>
          <w:u w:val="single"/>
        </w:rPr>
      </w:pPr>
      <w:r>
        <w:rPr>
          <w:szCs w:val="24"/>
          <w:u w:val="single"/>
        </w:rPr>
        <w:t>The First GDC Decision</w:t>
      </w:r>
    </w:p>
    <w:p w14:paraId="64E72379" w14:textId="283ECD7B" w:rsidR="001B137B" w:rsidRDefault="00E77C4F" w:rsidP="00972118">
      <w:pPr>
        <w:pStyle w:val="ParaLevel1"/>
        <w:rPr>
          <w:i/>
          <w:iCs/>
          <w:lang w:eastAsia="en-GB"/>
        </w:rPr>
      </w:pPr>
      <w:r w:rsidRPr="00E77C4F">
        <w:rPr>
          <w:szCs w:val="24"/>
        </w:rPr>
        <w:t xml:space="preserve">The role of the governors </w:t>
      </w:r>
      <w:r>
        <w:t xml:space="preserve">in considering whether to reinstate a pupil who has been permanently excluded is governed by regulation 24.  The effect of paragraphs (1) and (2) is that where the headteacher (referred to as “the principal”) has permanently excluded a pupil the governors (referred to as “the proprietor”) must decide whether or not the pupil should be reinstated.  Paragraph (3) sets out various specific requirements relating to that decision.  </w:t>
      </w:r>
      <w:r w:rsidR="00C96BDD">
        <w:t>S</w:t>
      </w:r>
      <w:r>
        <w:t xml:space="preserve">ub-paragraph (a) </w:t>
      </w:r>
      <w:r w:rsidR="00C96BDD">
        <w:t xml:space="preserve">requires them </w:t>
      </w:r>
      <w:r>
        <w:t>to “consider the interests and circumstances of the excluded pupil, including the circumstances in which the pupil was excluded, and have regard to the interests of other pupils and persons working at the Academy”.</w:t>
      </w:r>
      <w:r w:rsidR="0084034A">
        <w:t xml:space="preserve">  Sub-paragraph (b) requires them to consider any representations </w:t>
      </w:r>
      <w:r w:rsidR="00FD3641">
        <w:t xml:space="preserve">about the exclusion made by or on </w:t>
      </w:r>
      <w:r w:rsidR="005A4916">
        <w:t>behalf</w:t>
      </w:r>
      <w:r w:rsidR="00CE4AC5">
        <w:t xml:space="preserve"> of the pupil</w:t>
      </w:r>
      <w:r w:rsidR="005A4916">
        <w:t>’</w:t>
      </w:r>
      <w:r w:rsidR="00CE4AC5">
        <w:t>s parent</w:t>
      </w:r>
      <w:r w:rsidR="002675DA">
        <w:t xml:space="preserve"> or parent</w:t>
      </w:r>
      <w:r w:rsidR="005A4916">
        <w:t>s</w:t>
      </w:r>
      <w:r w:rsidR="00CE4AC5">
        <w:t xml:space="preserve"> (described as “the relevant person”</w:t>
      </w:r>
      <w:r w:rsidR="005A4916">
        <w:t>)</w:t>
      </w:r>
      <w:r w:rsidR="00B94AFB">
        <w:t xml:space="preserve"> or the headteacher</w:t>
      </w:r>
      <w:r w:rsidR="005A4916">
        <w:t>.  Sub-paragraph</w:t>
      </w:r>
      <w:r w:rsidR="00C00446">
        <w:t>s</w:t>
      </w:r>
      <w:r w:rsidR="005A4916">
        <w:t xml:space="preserve"> (c)</w:t>
      </w:r>
      <w:r w:rsidR="00C00446">
        <w:t xml:space="preserve">-(e) </w:t>
      </w:r>
      <w:r w:rsidR="005A4916">
        <w:t>requires</w:t>
      </w:r>
      <w:r w:rsidR="00C00446">
        <w:t xml:space="preserve"> them to convene a meeting at which the</w:t>
      </w:r>
      <w:r w:rsidR="00B94AFB">
        <w:t xml:space="preserve"> hea</w:t>
      </w:r>
      <w:r w:rsidR="00DE465C">
        <w:t xml:space="preserve">dteacher, the parents (accompanied if they </w:t>
      </w:r>
      <w:r w:rsidR="001B7243">
        <w:t>wish</w:t>
      </w:r>
      <w:r w:rsidR="00DE465C">
        <w:t xml:space="preserve"> by a representative) </w:t>
      </w:r>
      <w:r w:rsidR="00C90854">
        <w:t>and (</w:t>
      </w:r>
      <w:r w:rsidR="001B7243">
        <w:t>if the</w:t>
      </w:r>
      <w:r w:rsidR="00C90854">
        <w:t xml:space="preserve"> parents request) a representative of the local authority can atte</w:t>
      </w:r>
      <w:r w:rsidR="001B7243">
        <w:t>nd and make representations.</w:t>
      </w:r>
    </w:p>
    <w:p w14:paraId="37DA9F79" w14:textId="0C5D9CE3" w:rsidR="0045491D" w:rsidRPr="00E77C4F" w:rsidRDefault="001B137B" w:rsidP="00972118">
      <w:pPr>
        <w:pStyle w:val="ParaLevel1"/>
        <w:rPr>
          <w:i/>
          <w:iCs/>
          <w:lang w:eastAsia="en-GB"/>
        </w:rPr>
      </w:pPr>
      <w:r>
        <w:t>S</w:t>
      </w:r>
      <w:r w:rsidR="006771BE">
        <w:t>ection 6</w:t>
      </w:r>
      <w:r w:rsidR="001B7243">
        <w:t xml:space="preserve"> of the Guidance</w:t>
      </w:r>
      <w:r w:rsidR="006771BE">
        <w:t xml:space="preserve"> </w:t>
      </w:r>
      <w:r w:rsidR="006569F7">
        <w:t>covers the decision</w:t>
      </w:r>
      <w:r w:rsidR="0098436C">
        <w:t xml:space="preserve"> whether to reinstate</w:t>
      </w:r>
      <w:r w:rsidR="0041045D">
        <w:t>.</w:t>
      </w:r>
      <w:r w:rsidR="00DB70BC">
        <w:t xml:space="preserve">  </w:t>
      </w:r>
      <w:r w:rsidR="006569F7">
        <w:t xml:space="preserve">I need only refer to </w:t>
      </w:r>
      <w:r w:rsidR="00E1752B">
        <w:t>para. 71</w:t>
      </w:r>
      <w:r w:rsidR="006569F7">
        <w:t xml:space="preserve">, which </w:t>
      </w:r>
      <w:r w:rsidR="00E1752B">
        <w:t>reads:</w:t>
      </w:r>
    </w:p>
    <w:p w14:paraId="1BF8B35C" w14:textId="01CE9AB5" w:rsidR="00E1752B" w:rsidRPr="00EB0F18" w:rsidRDefault="00EB0F18" w:rsidP="003D699D">
      <w:pPr>
        <w:pStyle w:val="ParaLevel1"/>
        <w:numPr>
          <w:ilvl w:val="0"/>
          <w:numId w:val="0"/>
        </w:numPr>
        <w:ind w:left="1418" w:right="794"/>
        <w:rPr>
          <w:lang w:eastAsia="en-GB"/>
        </w:rPr>
      </w:pPr>
      <w:r>
        <w:rPr>
          <w:lang w:eastAsia="en-GB"/>
        </w:rPr>
        <w:t>“</w:t>
      </w:r>
      <w:r w:rsidRPr="00EB0F18">
        <w:rPr>
          <w:lang w:eastAsia="en-GB"/>
        </w:rPr>
        <w:t xml:space="preserve">In reaching a decision on whether or not a pupil should be reinstated, the governing body should consider </w:t>
      </w:r>
      <w:bookmarkStart w:id="12" w:name="_Hlk190428006"/>
      <w:r w:rsidRPr="00EB0F18">
        <w:rPr>
          <w:lang w:eastAsia="en-GB"/>
        </w:rPr>
        <w:t xml:space="preserve">whether the decision to exclude the pupil was lawful, reasonable and procedurally fair, </w:t>
      </w:r>
      <w:bookmarkEnd w:id="12"/>
      <w:r w:rsidRPr="00EB0F18">
        <w:rPr>
          <w:lang w:eastAsia="en-GB"/>
        </w:rPr>
        <w:t>taking account of the head teacher’s legal duties and any evidence that was presented to the governing body in relation to the decision to exclude</w:t>
      </w:r>
      <w:r>
        <w:rPr>
          <w:lang w:eastAsia="en-GB"/>
        </w:rPr>
        <w:t>.”</w:t>
      </w:r>
    </w:p>
    <w:p w14:paraId="5D219CCE" w14:textId="4AB00F6B" w:rsidR="005D2C6B" w:rsidRDefault="00FF294F" w:rsidP="00972118">
      <w:pPr>
        <w:pStyle w:val="ParaLevel1"/>
        <w:rPr>
          <w:szCs w:val="24"/>
        </w:rPr>
      </w:pPr>
      <w:r>
        <w:rPr>
          <w:szCs w:val="24"/>
        </w:rPr>
        <w:t xml:space="preserve">The meeting of the </w:t>
      </w:r>
      <w:r w:rsidR="008A6419">
        <w:rPr>
          <w:szCs w:val="24"/>
        </w:rPr>
        <w:t>GDC to</w:t>
      </w:r>
      <w:r w:rsidR="00962C39">
        <w:rPr>
          <w:szCs w:val="24"/>
        </w:rPr>
        <w:t xml:space="preserve"> </w:t>
      </w:r>
      <w:r w:rsidR="008A6419">
        <w:rPr>
          <w:szCs w:val="24"/>
        </w:rPr>
        <w:t>consider whether to reinstate</w:t>
      </w:r>
      <w:r w:rsidR="00962C39">
        <w:rPr>
          <w:szCs w:val="24"/>
        </w:rPr>
        <w:t xml:space="preserve"> TZB took place</w:t>
      </w:r>
      <w:r w:rsidR="004C7564">
        <w:rPr>
          <w:szCs w:val="24"/>
        </w:rPr>
        <w:t>, as I have said,</w:t>
      </w:r>
      <w:r w:rsidR="00962C39">
        <w:rPr>
          <w:szCs w:val="24"/>
        </w:rPr>
        <w:t xml:space="preserve"> on </w:t>
      </w:r>
      <w:r w:rsidR="004C7564">
        <w:rPr>
          <w:szCs w:val="24"/>
        </w:rPr>
        <w:t xml:space="preserve">8 June 2021.  The </w:t>
      </w:r>
      <w:r w:rsidR="00491F83">
        <w:rPr>
          <w:szCs w:val="24"/>
        </w:rPr>
        <w:t>Headteacher</w:t>
      </w:r>
      <w:r w:rsidR="00B1318C">
        <w:rPr>
          <w:szCs w:val="24"/>
        </w:rPr>
        <w:t xml:space="preserve">, the Deputy Head and the Assistant Head all attended, as did </w:t>
      </w:r>
      <w:r w:rsidR="00756202">
        <w:rPr>
          <w:szCs w:val="24"/>
        </w:rPr>
        <w:t>the Claimant and TZB</w:t>
      </w:r>
      <w:r w:rsidR="00D412B5">
        <w:rPr>
          <w:szCs w:val="24"/>
        </w:rPr>
        <w:t xml:space="preserve"> </w:t>
      </w:r>
      <w:r w:rsidR="008F27F7">
        <w:rPr>
          <w:szCs w:val="24"/>
        </w:rPr>
        <w:t>(referred to in the contemporary documentation as “the family”)</w:t>
      </w:r>
      <w:r w:rsidR="00D55B74">
        <w:rPr>
          <w:szCs w:val="24"/>
        </w:rPr>
        <w:t xml:space="preserve"> </w:t>
      </w:r>
      <w:r w:rsidR="00D412B5">
        <w:rPr>
          <w:szCs w:val="24"/>
        </w:rPr>
        <w:t xml:space="preserve">and </w:t>
      </w:r>
      <w:r w:rsidR="00305129">
        <w:rPr>
          <w:szCs w:val="24"/>
        </w:rPr>
        <w:t xml:space="preserve">a </w:t>
      </w:r>
      <w:r w:rsidR="009C23AA">
        <w:rPr>
          <w:szCs w:val="24"/>
        </w:rPr>
        <w:t>friend</w:t>
      </w:r>
      <w:r w:rsidR="00D8742B">
        <w:rPr>
          <w:szCs w:val="24"/>
        </w:rPr>
        <w:t xml:space="preserve">, </w:t>
      </w:r>
      <w:r w:rsidR="006B3A0D">
        <w:rPr>
          <w:szCs w:val="24"/>
        </w:rPr>
        <w:t xml:space="preserve">to whom I </w:t>
      </w:r>
      <w:r w:rsidR="00D03D29">
        <w:rPr>
          <w:szCs w:val="24"/>
        </w:rPr>
        <w:t>will</w:t>
      </w:r>
      <w:r w:rsidR="006B3A0D">
        <w:rPr>
          <w:szCs w:val="24"/>
        </w:rPr>
        <w:t xml:space="preserve"> refer as “KM”</w:t>
      </w:r>
      <w:r w:rsidR="00D8742B">
        <w:rPr>
          <w:szCs w:val="24"/>
        </w:rPr>
        <w:t>, who acted as their representative</w:t>
      </w:r>
      <w:r w:rsidR="00D223A2">
        <w:rPr>
          <w:rStyle w:val="FootnoteReference"/>
          <w:szCs w:val="24"/>
        </w:rPr>
        <w:footnoteReference w:id="8"/>
      </w:r>
      <w:r w:rsidR="00305129">
        <w:rPr>
          <w:szCs w:val="24"/>
        </w:rPr>
        <w:t xml:space="preserve">.  A </w:t>
      </w:r>
      <w:r w:rsidR="00C11A23">
        <w:rPr>
          <w:szCs w:val="24"/>
        </w:rPr>
        <w:t>representative of the local authority</w:t>
      </w:r>
      <w:r w:rsidR="00305129">
        <w:rPr>
          <w:szCs w:val="24"/>
        </w:rPr>
        <w:t xml:space="preserve"> was also present</w:t>
      </w:r>
      <w:r w:rsidR="00756202">
        <w:rPr>
          <w:szCs w:val="24"/>
        </w:rPr>
        <w:t>.  The GDC had a pack of relevant materials.</w:t>
      </w:r>
      <w:r w:rsidR="00F75261">
        <w:rPr>
          <w:szCs w:val="24"/>
        </w:rPr>
        <w:t xml:space="preserve">  At the start of the </w:t>
      </w:r>
      <w:r w:rsidR="00F07AAD">
        <w:rPr>
          <w:szCs w:val="24"/>
        </w:rPr>
        <w:t>meeting</w:t>
      </w:r>
      <w:r w:rsidR="00F75261">
        <w:rPr>
          <w:szCs w:val="24"/>
        </w:rPr>
        <w:t xml:space="preserve"> the Chair identified its role as being </w:t>
      </w:r>
      <w:r w:rsidR="00F07AAD">
        <w:rPr>
          <w:szCs w:val="24"/>
        </w:rPr>
        <w:t>“</w:t>
      </w:r>
      <w:r w:rsidR="00F07AAD" w:rsidRPr="00F07AAD">
        <w:rPr>
          <w:szCs w:val="24"/>
        </w:rPr>
        <w:t xml:space="preserve">to determine whether the </w:t>
      </w:r>
      <w:r w:rsidR="00671B8B">
        <w:rPr>
          <w:szCs w:val="24"/>
        </w:rPr>
        <w:t>H</w:t>
      </w:r>
      <w:r w:rsidR="00F07AAD" w:rsidRPr="00F07AAD">
        <w:rPr>
          <w:szCs w:val="24"/>
        </w:rPr>
        <w:t xml:space="preserve">ead had carried out the correct procedures in </w:t>
      </w:r>
      <w:r w:rsidR="00671B8B">
        <w:rPr>
          <w:szCs w:val="24"/>
        </w:rPr>
        <w:t>relation</w:t>
      </w:r>
      <w:r w:rsidR="00671B8B" w:rsidRPr="00671B8B">
        <w:rPr>
          <w:szCs w:val="24"/>
        </w:rPr>
        <w:t xml:space="preserve"> to exclusion and to determine whether the permanent exclusion was justified on the balance of probabilities</w:t>
      </w:r>
      <w:r w:rsidR="00A03DBA">
        <w:rPr>
          <w:szCs w:val="24"/>
        </w:rPr>
        <w:t>”</w:t>
      </w:r>
      <w:r w:rsidR="00671B8B">
        <w:rPr>
          <w:szCs w:val="24"/>
        </w:rPr>
        <w:t>.</w:t>
      </w:r>
      <w:r w:rsidR="00402C72">
        <w:rPr>
          <w:szCs w:val="24"/>
        </w:rPr>
        <w:t xml:space="preserve">  The meeting </w:t>
      </w:r>
      <w:r w:rsidR="00E062CF">
        <w:rPr>
          <w:szCs w:val="24"/>
        </w:rPr>
        <w:t xml:space="preserve">was </w:t>
      </w:r>
      <w:r w:rsidR="00D55B74">
        <w:rPr>
          <w:szCs w:val="24"/>
        </w:rPr>
        <w:t>a</w:t>
      </w:r>
      <w:r w:rsidR="00E062CF">
        <w:rPr>
          <w:szCs w:val="24"/>
        </w:rPr>
        <w:t xml:space="preserve">t times heated and, as </w:t>
      </w:r>
      <w:r w:rsidR="00891FB7">
        <w:rPr>
          <w:szCs w:val="24"/>
        </w:rPr>
        <w:t>the IRP</w:t>
      </w:r>
      <w:r w:rsidR="00E062CF">
        <w:rPr>
          <w:szCs w:val="24"/>
        </w:rPr>
        <w:t xml:space="preserve"> subsequently noted, </w:t>
      </w:r>
      <w:r w:rsidR="00377F90">
        <w:rPr>
          <w:szCs w:val="24"/>
        </w:rPr>
        <w:t>“the Chair had to work hard to retain a measured, calm hearing”.</w:t>
      </w:r>
    </w:p>
    <w:p w14:paraId="4EA54774" w14:textId="3322E5CE" w:rsidR="005D2C6B" w:rsidRDefault="00A378A4" w:rsidP="00972118">
      <w:pPr>
        <w:pStyle w:val="ParaLevel1"/>
        <w:rPr>
          <w:szCs w:val="24"/>
        </w:rPr>
      </w:pPr>
      <w:r>
        <w:rPr>
          <w:szCs w:val="24"/>
        </w:rPr>
        <w:t xml:space="preserve">Full minutes of the meeting were kept.  For present purposes I need only </w:t>
      </w:r>
      <w:r w:rsidR="00A858FB">
        <w:rPr>
          <w:szCs w:val="24"/>
        </w:rPr>
        <w:t xml:space="preserve">refer to those parts </w:t>
      </w:r>
      <w:r w:rsidR="00C11A23">
        <w:rPr>
          <w:szCs w:val="24"/>
        </w:rPr>
        <w:t>that include references to the PSED</w:t>
      </w:r>
      <w:r w:rsidR="00A05C85">
        <w:rPr>
          <w:szCs w:val="24"/>
        </w:rPr>
        <w:t xml:space="preserve"> or the 2010 Act</w:t>
      </w:r>
      <w:r w:rsidR="00C11A23">
        <w:rPr>
          <w:szCs w:val="24"/>
        </w:rPr>
        <w:t>.</w:t>
      </w:r>
      <w:r w:rsidR="00113E1E">
        <w:rPr>
          <w:szCs w:val="24"/>
        </w:rPr>
        <w:t xml:space="preserve">  These occur in </w:t>
      </w:r>
      <w:r w:rsidR="004B2B9F">
        <w:rPr>
          <w:szCs w:val="24"/>
        </w:rPr>
        <w:t xml:space="preserve">four </w:t>
      </w:r>
      <w:r w:rsidR="00113E1E">
        <w:rPr>
          <w:szCs w:val="24"/>
        </w:rPr>
        <w:t>places.</w:t>
      </w:r>
      <w:r w:rsidR="00C11A23">
        <w:rPr>
          <w:szCs w:val="24"/>
        </w:rPr>
        <w:t xml:space="preserve">  </w:t>
      </w:r>
    </w:p>
    <w:p w14:paraId="30581DD2" w14:textId="63BFC0E4" w:rsidR="006E52B9" w:rsidRPr="006E52B9" w:rsidRDefault="00113E1E" w:rsidP="00972118">
      <w:pPr>
        <w:pStyle w:val="ParaLevel1"/>
        <w:rPr>
          <w:szCs w:val="24"/>
        </w:rPr>
      </w:pPr>
      <w:r w:rsidRPr="008942D1">
        <w:rPr>
          <w:u w:val="single"/>
        </w:rPr>
        <w:t>First</w:t>
      </w:r>
      <w:r>
        <w:t xml:space="preserve">, </w:t>
      </w:r>
      <w:r w:rsidR="008D1597">
        <w:t>section 2 of the minutes record</w:t>
      </w:r>
      <w:r w:rsidR="00EA5937">
        <w:t>s</w:t>
      </w:r>
      <w:r w:rsidR="008D1597">
        <w:t xml:space="preserve"> the School’s case</w:t>
      </w:r>
      <w:r w:rsidR="00B3310E">
        <w:t xml:space="preserve">.  Para. 2.1 </w:t>
      </w:r>
      <w:r w:rsidR="00C85051">
        <w:t>begins by the Hea</w:t>
      </w:r>
      <w:r w:rsidR="00A316FD">
        <w:t>d</w:t>
      </w:r>
      <w:r w:rsidR="00C85051">
        <w:t xml:space="preserve">teacher stating that </w:t>
      </w:r>
      <w:r w:rsidR="007D361E">
        <w:t>any decision permanently</w:t>
      </w:r>
      <w:r w:rsidR="00F156BC">
        <w:t xml:space="preserve"> to</w:t>
      </w:r>
      <w:r w:rsidR="007D361E">
        <w:t xml:space="preserve"> exclude a student </w:t>
      </w:r>
      <w:r w:rsidR="00F156BC">
        <w:t>was taken</w:t>
      </w:r>
      <w:r w:rsidR="007D361E">
        <w:t xml:space="preserve"> with a heavy heart but </w:t>
      </w:r>
      <w:r w:rsidR="00FF2E0D">
        <w:t xml:space="preserve">that </w:t>
      </w:r>
      <w:r w:rsidR="007D361E">
        <w:t xml:space="preserve">in this instance the School believed that </w:t>
      </w:r>
      <w:r w:rsidR="00FF2E0D">
        <w:t xml:space="preserve">it was </w:t>
      </w:r>
      <w:r w:rsidR="00F156BC">
        <w:t>in</w:t>
      </w:r>
      <w:r w:rsidR="007D361E">
        <w:t xml:space="preserve"> the interests of </w:t>
      </w:r>
      <w:r w:rsidR="00A316FD">
        <w:t xml:space="preserve">other </w:t>
      </w:r>
      <w:r w:rsidR="007D361E">
        <w:t>pupils and the wider community</w:t>
      </w:r>
      <w:r w:rsidR="002A140C">
        <w:t xml:space="preserve">. </w:t>
      </w:r>
      <w:r w:rsidR="007D361E">
        <w:t xml:space="preserve"> </w:t>
      </w:r>
      <w:r w:rsidR="00A316FD">
        <w:t>It continues</w:t>
      </w:r>
      <w:r w:rsidR="006E52B9">
        <w:t>:</w:t>
      </w:r>
    </w:p>
    <w:p w14:paraId="2D223BDA" w14:textId="29F17348" w:rsidR="00B3310E" w:rsidRPr="00F156BC" w:rsidRDefault="006E52B9" w:rsidP="00972118">
      <w:pPr>
        <w:pStyle w:val="ParaLevel1"/>
        <w:numPr>
          <w:ilvl w:val="0"/>
          <w:numId w:val="0"/>
        </w:numPr>
        <w:ind w:left="1418" w:right="793"/>
        <w:rPr>
          <w:szCs w:val="24"/>
        </w:rPr>
      </w:pPr>
      <w:r>
        <w:t>“[She]</w:t>
      </w:r>
      <w:r w:rsidR="007D361E">
        <w:t xml:space="preserve"> added that she had also considered the requirements of the Equality Act and was confident that </w:t>
      </w:r>
      <w:r w:rsidR="00047F98">
        <w:t>[TZB]</w:t>
      </w:r>
      <w:r w:rsidR="007D361E">
        <w:t xml:space="preserve"> had not been treated any less favourably than any other student.</w:t>
      </w:r>
      <w:r w:rsidR="002A140C">
        <w:t>”</w:t>
      </w:r>
    </w:p>
    <w:p w14:paraId="3AC7C684" w14:textId="7569CE2C" w:rsidR="00ED3CA3" w:rsidRDefault="007105A2" w:rsidP="00972118">
      <w:pPr>
        <w:pStyle w:val="ParaLevel1"/>
        <w:numPr>
          <w:ilvl w:val="0"/>
          <w:numId w:val="0"/>
        </w:numPr>
        <w:ind w:left="720"/>
        <w:rPr>
          <w:rFonts w:asciiTheme="majorBidi" w:hAnsiTheme="majorBidi" w:cstheme="majorBidi"/>
          <w:color w:val="000000"/>
          <w:szCs w:val="24"/>
          <w:lang w:eastAsia="en-GB"/>
        </w:rPr>
      </w:pPr>
      <w:r>
        <w:rPr>
          <w:rFonts w:asciiTheme="majorBidi" w:hAnsiTheme="majorBidi" w:cstheme="majorBidi"/>
          <w:color w:val="000000"/>
          <w:szCs w:val="24"/>
          <w:lang w:eastAsia="en-GB"/>
        </w:rPr>
        <w:t>T</w:t>
      </w:r>
      <w:r w:rsidR="0097148A">
        <w:rPr>
          <w:rFonts w:asciiTheme="majorBidi" w:hAnsiTheme="majorBidi" w:cstheme="majorBidi"/>
          <w:color w:val="000000"/>
          <w:szCs w:val="24"/>
          <w:lang w:eastAsia="en-GB"/>
        </w:rPr>
        <w:t xml:space="preserve">hat language </w:t>
      </w:r>
      <w:r>
        <w:rPr>
          <w:rFonts w:asciiTheme="majorBidi" w:hAnsiTheme="majorBidi" w:cstheme="majorBidi"/>
          <w:color w:val="000000"/>
          <w:szCs w:val="24"/>
          <w:lang w:eastAsia="en-GB"/>
        </w:rPr>
        <w:t>is not as clear as it might be.</w:t>
      </w:r>
      <w:r w:rsidR="00BC303F">
        <w:rPr>
          <w:rFonts w:asciiTheme="majorBidi" w:hAnsiTheme="majorBidi" w:cstheme="majorBidi"/>
          <w:color w:val="000000"/>
          <w:szCs w:val="24"/>
          <w:lang w:eastAsia="en-GB"/>
        </w:rPr>
        <w:t xml:space="preserve">  If the “and” is read literally, </w:t>
      </w:r>
      <w:r w:rsidR="0076016B">
        <w:rPr>
          <w:rFonts w:asciiTheme="majorBidi" w:hAnsiTheme="majorBidi" w:cstheme="majorBidi"/>
          <w:color w:val="000000"/>
          <w:szCs w:val="24"/>
          <w:lang w:eastAsia="en-GB"/>
        </w:rPr>
        <w:t>the Headteacher was saying (a) that she had considered</w:t>
      </w:r>
      <w:r w:rsidR="003219AE">
        <w:rPr>
          <w:rFonts w:asciiTheme="majorBidi" w:hAnsiTheme="majorBidi" w:cstheme="majorBidi"/>
          <w:color w:val="000000"/>
          <w:szCs w:val="24"/>
          <w:lang w:eastAsia="en-GB"/>
        </w:rPr>
        <w:t xml:space="preserve"> the requirements of the 2010 Act, </w:t>
      </w:r>
      <w:r w:rsidR="00DF664E">
        <w:rPr>
          <w:rFonts w:asciiTheme="majorBidi" w:hAnsiTheme="majorBidi" w:cstheme="majorBidi"/>
          <w:color w:val="000000"/>
          <w:szCs w:val="24"/>
          <w:lang w:eastAsia="en-GB"/>
        </w:rPr>
        <w:t xml:space="preserve">which would in principle include the PSED, and (b) that </w:t>
      </w:r>
      <w:r w:rsidR="00E64686">
        <w:rPr>
          <w:rFonts w:asciiTheme="majorBidi" w:hAnsiTheme="majorBidi" w:cstheme="majorBidi"/>
          <w:color w:val="000000"/>
          <w:szCs w:val="24"/>
          <w:lang w:eastAsia="en-GB"/>
        </w:rPr>
        <w:t>TZB had not been discriminated against</w:t>
      </w:r>
      <w:r w:rsidR="007F5DF3">
        <w:rPr>
          <w:rFonts w:asciiTheme="majorBidi" w:hAnsiTheme="majorBidi" w:cstheme="majorBidi"/>
          <w:color w:val="000000"/>
          <w:szCs w:val="24"/>
          <w:lang w:eastAsia="en-GB"/>
        </w:rPr>
        <w:t xml:space="preserve">, which would be a reference </w:t>
      </w:r>
      <w:r w:rsidR="008F22AA">
        <w:rPr>
          <w:rFonts w:asciiTheme="majorBidi" w:hAnsiTheme="majorBidi" w:cstheme="majorBidi"/>
          <w:color w:val="000000"/>
          <w:szCs w:val="24"/>
          <w:lang w:eastAsia="en-GB"/>
        </w:rPr>
        <w:t xml:space="preserve">to </w:t>
      </w:r>
      <w:r w:rsidR="00E64686">
        <w:rPr>
          <w:rFonts w:asciiTheme="majorBidi" w:hAnsiTheme="majorBidi" w:cstheme="majorBidi"/>
          <w:color w:val="000000"/>
          <w:szCs w:val="24"/>
          <w:lang w:eastAsia="en-GB"/>
        </w:rPr>
        <w:t>Part 6</w:t>
      </w:r>
      <w:r w:rsidR="008F22AA">
        <w:rPr>
          <w:rFonts w:asciiTheme="majorBidi" w:hAnsiTheme="majorBidi" w:cstheme="majorBidi"/>
          <w:color w:val="000000"/>
          <w:szCs w:val="24"/>
          <w:lang w:eastAsia="en-GB"/>
        </w:rPr>
        <w:t xml:space="preserve"> of the Act</w:t>
      </w:r>
      <w:r w:rsidR="00AA3ADD">
        <w:rPr>
          <w:rFonts w:asciiTheme="majorBidi" w:hAnsiTheme="majorBidi" w:cstheme="majorBidi"/>
          <w:color w:val="000000"/>
          <w:szCs w:val="24"/>
          <w:lang w:eastAsia="en-GB"/>
        </w:rPr>
        <w:t xml:space="preserve">.  But it </w:t>
      </w:r>
      <w:r w:rsidR="00554217">
        <w:rPr>
          <w:rFonts w:asciiTheme="majorBidi" w:hAnsiTheme="majorBidi" w:cstheme="majorBidi"/>
          <w:color w:val="000000"/>
          <w:szCs w:val="24"/>
          <w:lang w:eastAsia="en-GB"/>
        </w:rPr>
        <w:t>would be possible to read the part after the “</w:t>
      </w:r>
      <w:r w:rsidR="006B6339">
        <w:rPr>
          <w:rFonts w:asciiTheme="majorBidi" w:hAnsiTheme="majorBidi" w:cstheme="majorBidi"/>
          <w:color w:val="000000"/>
          <w:szCs w:val="24"/>
          <w:lang w:eastAsia="en-GB"/>
        </w:rPr>
        <w:t xml:space="preserve">and” as a gloss on </w:t>
      </w:r>
      <w:r w:rsidR="00554217">
        <w:rPr>
          <w:rFonts w:asciiTheme="majorBidi" w:hAnsiTheme="majorBidi" w:cstheme="majorBidi"/>
          <w:color w:val="000000"/>
          <w:szCs w:val="24"/>
          <w:lang w:eastAsia="en-GB"/>
        </w:rPr>
        <w:t xml:space="preserve">the reference to </w:t>
      </w:r>
      <w:r w:rsidR="006B6339">
        <w:rPr>
          <w:rFonts w:asciiTheme="majorBidi" w:hAnsiTheme="majorBidi" w:cstheme="majorBidi"/>
          <w:color w:val="000000"/>
          <w:szCs w:val="24"/>
          <w:lang w:eastAsia="en-GB"/>
        </w:rPr>
        <w:t xml:space="preserve">the 2010 Act – i.e. as meaning </w:t>
      </w:r>
      <w:r w:rsidR="00466232">
        <w:rPr>
          <w:rFonts w:asciiTheme="majorBidi" w:hAnsiTheme="majorBidi" w:cstheme="majorBidi"/>
          <w:color w:val="000000"/>
          <w:szCs w:val="24"/>
          <w:lang w:eastAsia="en-GB"/>
        </w:rPr>
        <w:t xml:space="preserve">that she had considered (only) whether </w:t>
      </w:r>
      <w:r w:rsidR="0096081C">
        <w:rPr>
          <w:rFonts w:asciiTheme="majorBidi" w:hAnsiTheme="majorBidi" w:cstheme="majorBidi"/>
          <w:color w:val="000000"/>
          <w:szCs w:val="24"/>
          <w:lang w:eastAsia="en-GB"/>
        </w:rPr>
        <w:t xml:space="preserve">TZB’s </w:t>
      </w:r>
      <w:r w:rsidR="007912EF">
        <w:rPr>
          <w:rFonts w:asciiTheme="majorBidi" w:hAnsiTheme="majorBidi" w:cstheme="majorBidi"/>
          <w:color w:val="000000"/>
          <w:szCs w:val="24"/>
          <w:lang w:eastAsia="en-GB"/>
        </w:rPr>
        <w:t xml:space="preserve">exclusion would </w:t>
      </w:r>
      <w:r w:rsidR="001872D8">
        <w:rPr>
          <w:rFonts w:asciiTheme="majorBidi" w:hAnsiTheme="majorBidi" w:cstheme="majorBidi"/>
          <w:color w:val="000000"/>
          <w:szCs w:val="24"/>
          <w:lang w:eastAsia="en-GB"/>
        </w:rPr>
        <w:t>constitute direct discrimination contrary to Part 6</w:t>
      </w:r>
      <w:r w:rsidR="007912EF">
        <w:rPr>
          <w:rFonts w:asciiTheme="majorBidi" w:hAnsiTheme="majorBidi" w:cstheme="majorBidi"/>
          <w:color w:val="000000"/>
          <w:szCs w:val="24"/>
          <w:lang w:eastAsia="en-GB"/>
        </w:rPr>
        <w:t>.</w:t>
      </w:r>
      <w:r w:rsidR="00A3019C">
        <w:rPr>
          <w:rFonts w:asciiTheme="majorBidi" w:hAnsiTheme="majorBidi" w:cstheme="majorBidi"/>
          <w:color w:val="000000"/>
          <w:szCs w:val="24"/>
          <w:lang w:eastAsia="en-GB"/>
        </w:rPr>
        <w:t xml:space="preserve">  </w:t>
      </w:r>
    </w:p>
    <w:p w14:paraId="67CA41D4" w14:textId="1D535392" w:rsidR="0005609C" w:rsidRPr="0005609C" w:rsidRDefault="009E1ACD" w:rsidP="00972118">
      <w:pPr>
        <w:pStyle w:val="ParaLevel1"/>
        <w:rPr>
          <w:szCs w:val="24"/>
        </w:rPr>
      </w:pPr>
      <w:r w:rsidRPr="008942D1">
        <w:rPr>
          <w:u w:val="single"/>
        </w:rPr>
        <w:t>Second</w:t>
      </w:r>
      <w:r>
        <w:t xml:space="preserve">, </w:t>
      </w:r>
      <w:r w:rsidR="0052532D">
        <w:t xml:space="preserve">KM in presenting the case </w:t>
      </w:r>
      <w:r w:rsidR="00512D35">
        <w:t xml:space="preserve">for the </w:t>
      </w:r>
      <w:r w:rsidR="004E6CCB">
        <w:t>family</w:t>
      </w:r>
      <w:r w:rsidR="00512D35">
        <w:t xml:space="preserve"> </w:t>
      </w:r>
      <w:r w:rsidR="00731DA9">
        <w:t xml:space="preserve">emphasised that </w:t>
      </w:r>
      <w:r w:rsidR="008A2E0C">
        <w:t>“</w:t>
      </w:r>
      <w:r w:rsidR="008A2E0C" w:rsidRPr="008A2E0C">
        <w:t>it was important for the</w:t>
      </w:r>
      <w:r w:rsidR="00D5140D">
        <w:t xml:space="preserve"> </w:t>
      </w:r>
      <w:r w:rsidR="00D17820">
        <w:t>G</w:t>
      </w:r>
      <w:r w:rsidR="008A2E0C" w:rsidRPr="008A2E0C">
        <w:t>overnors to consider the Equality Act in their deliberations</w:t>
      </w:r>
      <w:r w:rsidR="00D17820">
        <w:t xml:space="preserve">”: TZB </w:t>
      </w:r>
      <w:r w:rsidR="008A2E0C" w:rsidRPr="008A2E0C">
        <w:t>had protected characteristics</w:t>
      </w:r>
      <w:r w:rsidR="00D17820" w:rsidRPr="00D17820">
        <w:t xml:space="preserve"> </w:t>
      </w:r>
      <w:r w:rsidR="00D17820">
        <w:t>and “</w:t>
      </w:r>
      <w:r w:rsidR="00D17820" w:rsidRPr="00D17820">
        <w:t>how these characteristics had been protected was not demonstrated in the decision letter</w:t>
      </w:r>
      <w:r w:rsidR="00D5140D">
        <w:t>”.</w:t>
      </w:r>
    </w:p>
    <w:p w14:paraId="0D8B00E1" w14:textId="67B0B3F1" w:rsidR="00780F71" w:rsidRPr="00780F71" w:rsidRDefault="0005609C" w:rsidP="00972118">
      <w:pPr>
        <w:pStyle w:val="ParaLevel1"/>
        <w:rPr>
          <w:szCs w:val="24"/>
        </w:rPr>
      </w:pPr>
      <w:r w:rsidRPr="008942D1">
        <w:rPr>
          <w:u w:val="single"/>
        </w:rPr>
        <w:t>Third</w:t>
      </w:r>
      <w:r>
        <w:t xml:space="preserve">, </w:t>
      </w:r>
      <w:r w:rsidR="00780F71">
        <w:t>section 6 of the minutes record</w:t>
      </w:r>
      <w:r w:rsidR="0024402B">
        <w:t>s</w:t>
      </w:r>
      <w:r w:rsidR="00780F71">
        <w:t xml:space="preserve"> the submissions of the local authority</w:t>
      </w:r>
      <w:r w:rsidR="00520E02">
        <w:t xml:space="preserve"> representative</w:t>
      </w:r>
      <w:r w:rsidR="00780F71">
        <w:t>.  The</w:t>
      </w:r>
      <w:r w:rsidR="00520E02">
        <w:t>y</w:t>
      </w:r>
      <w:r w:rsidR="00780F71">
        <w:t xml:space="preserve"> include</w:t>
      </w:r>
      <w:r w:rsidR="00695F07">
        <w:t>, at para. 6.6</w:t>
      </w:r>
      <w:r w:rsidR="00780F71">
        <w:t>:</w:t>
      </w:r>
    </w:p>
    <w:p w14:paraId="70027642" w14:textId="7E586297" w:rsidR="00E636B6" w:rsidRDefault="006D3AC2" w:rsidP="00972118">
      <w:pPr>
        <w:pStyle w:val="ParaLevel1"/>
        <w:numPr>
          <w:ilvl w:val="0"/>
          <w:numId w:val="0"/>
        </w:numPr>
        <w:ind w:left="1418" w:right="793"/>
        <w:rPr>
          <w:szCs w:val="24"/>
        </w:rPr>
      </w:pPr>
      <w:r>
        <w:t>“</w:t>
      </w:r>
      <w:r w:rsidR="002B5484">
        <w:t xml:space="preserve">She further commented that the Governors should take into account any extenuating circumstances such as family situation and whether </w:t>
      </w:r>
      <w:r>
        <w:t>[TZB]</w:t>
      </w:r>
      <w:r w:rsidR="002B5484">
        <w:t xml:space="preserve"> belonged to a group with disproportionately high levels of exclusion, such as Special Education Needs, Looked After Children, certain ethnic groups and Free School Meals. </w:t>
      </w:r>
      <w:r w:rsidR="00953C48">
        <w:t xml:space="preserve"> </w:t>
      </w:r>
      <w:r w:rsidR="002B5484">
        <w:t xml:space="preserve">It was noted that </w:t>
      </w:r>
      <w:r w:rsidR="00040859">
        <w:t>[TZB]</w:t>
      </w:r>
      <w:r w:rsidR="002B5484">
        <w:t xml:space="preserve"> was at Stage K School Support on the School</w:t>
      </w:r>
      <w:r w:rsidR="00953C48">
        <w:t>’</w:t>
      </w:r>
      <w:r w:rsidR="002B5484">
        <w:t xml:space="preserve">s SEN register at the time of the exclusion and was entitled to Free School Meals. </w:t>
      </w:r>
      <w:r w:rsidR="00C53654">
        <w:t xml:space="preserve"> </w:t>
      </w:r>
      <w:r w:rsidR="00040859">
        <w:t>[TZB</w:t>
      </w:r>
      <w:r w:rsidR="00EA5F46">
        <w:t>’s</w:t>
      </w:r>
      <w:r w:rsidR="00040859">
        <w:t>]</w:t>
      </w:r>
      <w:r w:rsidR="002B5484">
        <w:t xml:space="preserve"> ethnicity is stated as Black Caribbean which is both a group highlighted by the DfE as having above average levels of exclusion and a group which is over-represented in </w:t>
      </w:r>
      <w:r w:rsidR="000C0CA8">
        <w:t>terms</w:t>
      </w:r>
      <w:r w:rsidR="002B5484">
        <w:t xml:space="preserve"> of exclusion from </w:t>
      </w:r>
      <w:r w:rsidR="000C0CA8">
        <w:t>[</w:t>
      </w:r>
      <w:r w:rsidR="002B5484">
        <w:t>schools</w:t>
      </w:r>
      <w:r w:rsidR="000C0CA8">
        <w:t xml:space="preserve"> within the local authority area]</w:t>
      </w:r>
      <w:r w:rsidR="002B5484">
        <w:t>.</w:t>
      </w:r>
      <w:r w:rsidR="00520E02">
        <w:t xml:space="preserve">  </w:t>
      </w:r>
      <w:r w:rsidR="002B5484">
        <w:t xml:space="preserve">Support provided by the School to </w:t>
      </w:r>
      <w:r w:rsidR="00040859">
        <w:t>[TZB]</w:t>
      </w:r>
      <w:r w:rsidR="002B5484">
        <w:t xml:space="preserve"> was outlined in the paperwork.</w:t>
      </w:r>
      <w:r w:rsidR="00EB4DFB">
        <w:t>”</w:t>
      </w:r>
    </w:p>
    <w:p w14:paraId="07C4D025" w14:textId="09EE181C" w:rsidR="00C53654" w:rsidRDefault="00C53654" w:rsidP="00972118">
      <w:pPr>
        <w:pStyle w:val="ParaLevel1"/>
        <w:numPr>
          <w:ilvl w:val="0"/>
          <w:numId w:val="0"/>
        </w:numPr>
        <w:ind w:left="720"/>
        <w:rPr>
          <w:szCs w:val="24"/>
        </w:rPr>
      </w:pPr>
      <w:r>
        <w:rPr>
          <w:szCs w:val="24"/>
        </w:rPr>
        <w:t xml:space="preserve">That is not an explicit reference to the PSED, but it will be seen that </w:t>
      </w:r>
      <w:r w:rsidR="006D38F3">
        <w:rPr>
          <w:szCs w:val="24"/>
        </w:rPr>
        <w:t xml:space="preserve">it </w:t>
      </w:r>
      <w:r w:rsidR="00560A66">
        <w:rPr>
          <w:szCs w:val="24"/>
        </w:rPr>
        <w:t xml:space="preserve">draws attention to </w:t>
      </w:r>
      <w:r w:rsidR="00414A21">
        <w:rPr>
          <w:szCs w:val="24"/>
        </w:rPr>
        <w:t xml:space="preserve">the </w:t>
      </w:r>
      <w:r w:rsidR="00560A66">
        <w:rPr>
          <w:szCs w:val="24"/>
        </w:rPr>
        <w:t xml:space="preserve">very </w:t>
      </w:r>
      <w:r w:rsidR="00414A21">
        <w:rPr>
          <w:szCs w:val="24"/>
        </w:rPr>
        <w:t xml:space="preserve">considerations </w:t>
      </w:r>
      <w:r w:rsidR="00153E3D">
        <w:rPr>
          <w:szCs w:val="24"/>
        </w:rPr>
        <w:t xml:space="preserve">to </w:t>
      </w:r>
      <w:r w:rsidR="00414A21">
        <w:rPr>
          <w:szCs w:val="24"/>
        </w:rPr>
        <w:t xml:space="preserve">which </w:t>
      </w:r>
      <w:r w:rsidR="003D699D">
        <w:rPr>
          <w:szCs w:val="24"/>
        </w:rPr>
        <w:t>the Claimant</w:t>
      </w:r>
      <w:r w:rsidR="00414A21">
        <w:rPr>
          <w:szCs w:val="24"/>
        </w:rPr>
        <w:t xml:space="preserve"> </w:t>
      </w:r>
      <w:r w:rsidR="00EB4DFB">
        <w:rPr>
          <w:szCs w:val="24"/>
        </w:rPr>
        <w:t xml:space="preserve">says that </w:t>
      </w:r>
      <w:r w:rsidR="000C513C">
        <w:rPr>
          <w:szCs w:val="24"/>
        </w:rPr>
        <w:t>the</w:t>
      </w:r>
      <w:r w:rsidR="00153E3D">
        <w:rPr>
          <w:szCs w:val="24"/>
        </w:rPr>
        <w:t xml:space="preserve"> School was obliged by the </w:t>
      </w:r>
      <w:r w:rsidR="000C513C">
        <w:rPr>
          <w:szCs w:val="24"/>
        </w:rPr>
        <w:t xml:space="preserve">PSED </w:t>
      </w:r>
      <w:r w:rsidR="00153E3D">
        <w:rPr>
          <w:szCs w:val="24"/>
        </w:rPr>
        <w:t>to have regard</w:t>
      </w:r>
      <w:r w:rsidR="000C513C">
        <w:rPr>
          <w:szCs w:val="24"/>
        </w:rPr>
        <w:t xml:space="preserve">. </w:t>
      </w:r>
      <w:r w:rsidR="00924D8B">
        <w:rPr>
          <w:szCs w:val="24"/>
        </w:rPr>
        <w:t xml:space="preserve"> </w:t>
      </w:r>
    </w:p>
    <w:p w14:paraId="70FB3C2B" w14:textId="4046DED9" w:rsidR="000956DB" w:rsidRDefault="00D872A5" w:rsidP="00972118">
      <w:pPr>
        <w:pStyle w:val="ParaLevel1"/>
      </w:pPr>
      <w:r w:rsidRPr="008942D1">
        <w:rPr>
          <w:u w:val="single"/>
        </w:rPr>
        <w:t>Fourth</w:t>
      </w:r>
      <w:r w:rsidR="000956DB">
        <w:t xml:space="preserve">, the GDC’s decision is recorded in section 10 of the minutes.  I should set </w:t>
      </w:r>
      <w:r w:rsidR="00560A66">
        <w:t xml:space="preserve">this </w:t>
      </w:r>
      <w:r w:rsidR="000956DB">
        <w:t>out in full, although only a small part relates to the PSED.  It reads:</w:t>
      </w:r>
    </w:p>
    <w:p w14:paraId="71402A1D" w14:textId="77777777" w:rsidR="000956DB" w:rsidRDefault="000956DB" w:rsidP="00972118">
      <w:pPr>
        <w:pStyle w:val="ParaLevel1"/>
        <w:numPr>
          <w:ilvl w:val="0"/>
          <w:numId w:val="0"/>
        </w:numPr>
        <w:ind w:left="1418" w:right="793"/>
      </w:pPr>
      <w:r>
        <w:t>“10.1  The Governors discussed all issues in relation to this incident.</w:t>
      </w:r>
    </w:p>
    <w:p w14:paraId="459C9B56" w14:textId="77777777" w:rsidR="000956DB" w:rsidRDefault="000956DB" w:rsidP="00972118">
      <w:pPr>
        <w:pStyle w:val="ParaLevel1"/>
        <w:numPr>
          <w:ilvl w:val="0"/>
          <w:numId w:val="0"/>
        </w:numPr>
        <w:ind w:left="1418" w:right="793"/>
      </w:pPr>
      <w:r>
        <w:t xml:space="preserve">10.2  It was agreed that the incident had been investigated thoroughly, and the statements taken following the incident were noted. </w:t>
      </w:r>
    </w:p>
    <w:p w14:paraId="24001560" w14:textId="77777777" w:rsidR="000956DB" w:rsidRDefault="000956DB" w:rsidP="00972118">
      <w:pPr>
        <w:pStyle w:val="ParaLevel1"/>
        <w:numPr>
          <w:ilvl w:val="0"/>
          <w:numId w:val="0"/>
        </w:numPr>
        <w:ind w:left="1418" w:right="793"/>
      </w:pPr>
      <w:r>
        <w:t xml:space="preserve">10.3  It was agreed that the education and welfare of both staff and students in the School was paramount.  It was agreed that allowing [TZB] to return to school could harm the education or welfare of others in the School.  Staff and students had a right to come to the School and feel safe. </w:t>
      </w:r>
    </w:p>
    <w:p w14:paraId="3240C344" w14:textId="77777777" w:rsidR="000956DB" w:rsidRDefault="000956DB" w:rsidP="00972118">
      <w:pPr>
        <w:pStyle w:val="ParaLevel1"/>
        <w:numPr>
          <w:ilvl w:val="0"/>
          <w:numId w:val="0"/>
        </w:numPr>
        <w:ind w:left="1418" w:right="793"/>
      </w:pPr>
      <w:r>
        <w:t>10.4  It was agreed that on the balance of probabilities the incidents had happened as described by the School.</w:t>
      </w:r>
    </w:p>
    <w:p w14:paraId="798FD4CD" w14:textId="77777777" w:rsidR="000956DB" w:rsidRDefault="000956DB" w:rsidP="00972118">
      <w:pPr>
        <w:pStyle w:val="ParaLevel1"/>
        <w:numPr>
          <w:ilvl w:val="0"/>
          <w:numId w:val="0"/>
        </w:numPr>
        <w:ind w:left="1418" w:right="793"/>
      </w:pPr>
      <w:r>
        <w:t xml:space="preserve">10.5  Governors discussed if the incidents were severe enough to warrant a permanent exclusion.  It was agreed that the incidents constituted a serious breach of the School’s Behaviour Policy.  It was agreed that the sanction was a proportionate response to the incidents. </w:t>
      </w:r>
    </w:p>
    <w:p w14:paraId="1DE3B928" w14:textId="35F2D0A2" w:rsidR="000956DB" w:rsidRDefault="000956DB" w:rsidP="00972118">
      <w:pPr>
        <w:pStyle w:val="ParaLevel1"/>
        <w:numPr>
          <w:ilvl w:val="0"/>
          <w:numId w:val="0"/>
        </w:numPr>
        <w:ind w:left="1418" w:right="793"/>
      </w:pPr>
      <w:r>
        <w:t xml:space="preserve">10.6  The Governors agreed that the exclusion met both parts of the two-fold test. </w:t>
      </w:r>
    </w:p>
    <w:p w14:paraId="4442F099" w14:textId="3AD8C193" w:rsidR="000956DB" w:rsidRDefault="000956DB" w:rsidP="00972118">
      <w:pPr>
        <w:pStyle w:val="ParaLevel1"/>
        <w:numPr>
          <w:ilvl w:val="0"/>
          <w:numId w:val="0"/>
        </w:numPr>
        <w:ind w:left="1418" w:right="793"/>
      </w:pPr>
      <w:r>
        <w:t>10.7  Governors discussed the support provided by the School.  It was agreed that the School had followed the DfE guidelines and offered every support that it could reasonably be expected to provide.  The family had not been able to suggest any further support that the School could have provided.  [TZB</w:t>
      </w:r>
      <w:r w:rsidR="00A00C97">
        <w:t>’s</w:t>
      </w:r>
      <w:r>
        <w:t xml:space="preserve">] mental health was also discussed.  Mum had reported that [TZB] had attempted suicide.  [TZB] was a carer to his siblings and had dispensation to leave school early.  [TZB] had also been offered counselling.  It was also noted that the exclusion was for a one-off serious offence and details of the support provided was for background information only. </w:t>
      </w:r>
    </w:p>
    <w:p w14:paraId="5714F8D8" w14:textId="51EEE796" w:rsidR="000956DB" w:rsidRDefault="000956DB" w:rsidP="00972118">
      <w:pPr>
        <w:pStyle w:val="ParaLevel1"/>
        <w:numPr>
          <w:ilvl w:val="0"/>
          <w:numId w:val="0"/>
        </w:numPr>
        <w:ind w:left="1418" w:right="793"/>
      </w:pPr>
      <w:r>
        <w:t>10.8</w:t>
      </w:r>
      <w:r w:rsidR="00434E59">
        <w:t xml:space="preserve"> </w:t>
      </w:r>
      <w:r>
        <w:t xml:space="preserve">Governors discussed the family’s extenuating circumstances.  It was agreed that the Family had not made the School aware of any extenuating circumstances. </w:t>
      </w:r>
    </w:p>
    <w:p w14:paraId="5A9B5973" w14:textId="77777777" w:rsidR="000956DB" w:rsidRDefault="000956DB" w:rsidP="00972118">
      <w:pPr>
        <w:pStyle w:val="ParaLevel1"/>
        <w:numPr>
          <w:ilvl w:val="0"/>
          <w:numId w:val="0"/>
        </w:numPr>
        <w:ind w:left="1418" w:right="793"/>
      </w:pPr>
      <w:r>
        <w:t xml:space="preserve">10.9   It was agreed that the School’s Policy on exclusions had been followed in full.  The Governors further agreed that they felt that the DfE’s guidance on permanent exclusions was met.  It was also agreed that the School needed to be consistent to all students in applying the Behaviour Policy. </w:t>
      </w:r>
    </w:p>
    <w:p w14:paraId="14C36899" w14:textId="6FAA0D8E" w:rsidR="000956DB" w:rsidRDefault="000956DB" w:rsidP="00972118">
      <w:pPr>
        <w:pStyle w:val="ParaLevel1"/>
        <w:numPr>
          <w:ilvl w:val="0"/>
          <w:numId w:val="0"/>
        </w:numPr>
        <w:ind w:left="1418" w:right="793"/>
      </w:pPr>
      <w:r>
        <w:t xml:space="preserve">10.10 </w:t>
      </w:r>
      <w:r w:rsidR="00434E59">
        <w:t xml:space="preserve"> </w:t>
      </w:r>
      <w:r>
        <w:t xml:space="preserve">It was further agreed that the requirements of the Equality Act had been considered and [TZB] had not been treated any less favourably because of his SEN needs. </w:t>
      </w:r>
    </w:p>
    <w:p w14:paraId="27906490" w14:textId="69D6EECE" w:rsidR="000956DB" w:rsidRPr="00AA129D" w:rsidRDefault="000956DB" w:rsidP="00972118">
      <w:pPr>
        <w:pStyle w:val="ParaLevel1"/>
        <w:numPr>
          <w:ilvl w:val="0"/>
          <w:numId w:val="0"/>
        </w:numPr>
        <w:spacing w:after="360"/>
        <w:ind w:left="1418" w:right="794"/>
      </w:pPr>
      <w:r>
        <w:t xml:space="preserve">10.11 </w:t>
      </w:r>
      <w:r w:rsidR="00434E59">
        <w:t xml:space="preserve"> </w:t>
      </w:r>
      <w:r>
        <w:t>It was agreed, by a majority decision, that [TZB] met the criteria for exclusion and that the Head’s decision was legal, reasonable and procedurally fair and that the exclusion was justified and agreed to decline to reinstate [TZB] to the School.”</w:t>
      </w:r>
    </w:p>
    <w:p w14:paraId="1FE3BB1C" w14:textId="77777777" w:rsidR="00E83DCB" w:rsidRDefault="00E83DCB" w:rsidP="00972118">
      <w:pPr>
        <w:pStyle w:val="ParaLevel1"/>
        <w:rPr>
          <w:lang w:eastAsia="en-GB"/>
        </w:rPr>
      </w:pPr>
      <w:r>
        <w:rPr>
          <w:lang w:eastAsia="en-GB"/>
        </w:rPr>
        <w:t>I should note two points about section 10:</w:t>
      </w:r>
    </w:p>
    <w:p w14:paraId="2E020986" w14:textId="57222F07" w:rsidR="00FD7D8C" w:rsidRDefault="00E83DCB" w:rsidP="00972118">
      <w:pPr>
        <w:pStyle w:val="ParaLevel1"/>
        <w:numPr>
          <w:ilvl w:val="0"/>
          <w:numId w:val="0"/>
        </w:numPr>
        <w:ind w:left="1287" w:hanging="567"/>
      </w:pPr>
      <w:r>
        <w:rPr>
          <w:lang w:eastAsia="en-GB"/>
        </w:rPr>
        <w:t>(1)</w:t>
      </w:r>
      <w:r>
        <w:rPr>
          <w:lang w:eastAsia="en-GB"/>
        </w:rPr>
        <w:tab/>
      </w:r>
      <w:r w:rsidR="00FD7D8C">
        <w:t xml:space="preserve">The conclusion at para. 10.7 that the School “had … offered every support that it could reasonably be expected to provide” is </w:t>
      </w:r>
      <w:r w:rsidR="007E32ED">
        <w:t xml:space="preserve">evidently based on the very full account given by the </w:t>
      </w:r>
      <w:r w:rsidR="009D7BAB">
        <w:t>A</w:t>
      </w:r>
      <w:r w:rsidR="00F53CFE">
        <w:t xml:space="preserve">ssistant Head, as </w:t>
      </w:r>
      <w:r w:rsidR="009D7BAB">
        <w:t>recorded in</w:t>
      </w:r>
      <w:r w:rsidR="00FD7D8C">
        <w:t xml:space="preserve"> paras. 2.7 and 2.8</w:t>
      </w:r>
      <w:r w:rsidR="009D7BAB">
        <w:t xml:space="preserve"> of the minutes, </w:t>
      </w:r>
      <w:r w:rsidR="00FD7D8C">
        <w:t xml:space="preserve">of the support given to TSB since </w:t>
      </w:r>
      <w:r w:rsidR="009D7BAB">
        <w:t>he joined the School in</w:t>
      </w:r>
      <w:r w:rsidR="00EF4AF2">
        <w:t xml:space="preserve"> </w:t>
      </w:r>
      <w:r w:rsidR="009D7BAB">
        <w:t>2016</w:t>
      </w:r>
      <w:r w:rsidR="00EF4AF2">
        <w:t xml:space="preserve">.  </w:t>
      </w:r>
      <w:r w:rsidR="009D7BAB">
        <w:t xml:space="preserve"> </w:t>
      </w:r>
      <w:r w:rsidR="005A0831">
        <w:t xml:space="preserve">I quote a substantial </w:t>
      </w:r>
      <w:r w:rsidR="007D6A22">
        <w:t xml:space="preserve">extract from those paragraphs at para. </w:t>
      </w:r>
      <w:r w:rsidR="00AD749E">
        <w:t>106</w:t>
      </w:r>
      <w:r w:rsidR="007D6A22">
        <w:t xml:space="preserve"> below.  </w:t>
      </w:r>
    </w:p>
    <w:p w14:paraId="144E183B" w14:textId="1E043125" w:rsidR="00FD7D8C" w:rsidRDefault="007B2E12" w:rsidP="00972118">
      <w:pPr>
        <w:pStyle w:val="ParaLevel1"/>
        <w:numPr>
          <w:ilvl w:val="0"/>
          <w:numId w:val="0"/>
        </w:numPr>
        <w:ind w:left="1287" w:hanging="567"/>
        <w:rPr>
          <w:lang w:eastAsia="en-GB"/>
        </w:rPr>
      </w:pPr>
      <w:r>
        <w:t>(2)</w:t>
      </w:r>
      <w:r>
        <w:tab/>
      </w:r>
      <w:r w:rsidR="00E83DCB">
        <w:rPr>
          <w:lang w:eastAsia="en-GB"/>
        </w:rPr>
        <w:t>Para. 10.10 appears to pick up the Headteacher’s statement in para. 2.1 which I have quoted above, but it is slightly differently worded because it refers specifically to “his SEN needs”: Ms Harrison observes that that ignores TZB’s Caribbean ethnicity.</w:t>
      </w:r>
    </w:p>
    <w:p w14:paraId="039DEC6B" w14:textId="2B54E664" w:rsidR="003D35D1" w:rsidRDefault="00E75610" w:rsidP="00972118">
      <w:pPr>
        <w:pStyle w:val="ParaLevel1"/>
        <w:rPr>
          <w:szCs w:val="24"/>
        </w:rPr>
      </w:pPr>
      <w:r>
        <w:rPr>
          <w:szCs w:val="24"/>
        </w:rPr>
        <w:t xml:space="preserve">On the same day a letter </w:t>
      </w:r>
      <w:r w:rsidR="000469FF">
        <w:rPr>
          <w:szCs w:val="24"/>
        </w:rPr>
        <w:t>was</w:t>
      </w:r>
      <w:r>
        <w:rPr>
          <w:szCs w:val="24"/>
        </w:rPr>
        <w:t xml:space="preserve"> sent to the Claimant giving the GDC’s decision and reasons</w:t>
      </w:r>
      <w:r w:rsidR="00907BFC">
        <w:rPr>
          <w:szCs w:val="24"/>
        </w:rPr>
        <w:t xml:space="preserve">.  It </w:t>
      </w:r>
      <w:r w:rsidR="000469FF">
        <w:rPr>
          <w:szCs w:val="24"/>
        </w:rPr>
        <w:t xml:space="preserve">does not add </w:t>
      </w:r>
      <w:r w:rsidR="00907BFC">
        <w:rPr>
          <w:szCs w:val="24"/>
        </w:rPr>
        <w:t xml:space="preserve">much </w:t>
      </w:r>
      <w:r w:rsidR="000469FF">
        <w:rPr>
          <w:szCs w:val="24"/>
        </w:rPr>
        <w:t>to what appears from the minutes</w:t>
      </w:r>
      <w:r w:rsidR="00907BFC">
        <w:rPr>
          <w:szCs w:val="24"/>
        </w:rPr>
        <w:t xml:space="preserve">, but I should </w:t>
      </w:r>
      <w:r w:rsidR="008A65D8">
        <w:rPr>
          <w:szCs w:val="24"/>
        </w:rPr>
        <w:t>quote</w:t>
      </w:r>
      <w:r w:rsidR="003D35D1">
        <w:rPr>
          <w:szCs w:val="24"/>
        </w:rPr>
        <w:t xml:space="preserve"> the following paragraph</w:t>
      </w:r>
      <w:r w:rsidR="008A65D8">
        <w:rPr>
          <w:szCs w:val="24"/>
        </w:rPr>
        <w:t>s</w:t>
      </w:r>
      <w:r w:rsidR="003D35D1">
        <w:rPr>
          <w:szCs w:val="24"/>
        </w:rPr>
        <w:t>:</w:t>
      </w:r>
    </w:p>
    <w:p w14:paraId="60351B73" w14:textId="1FCB288E" w:rsidR="008A65D8" w:rsidRDefault="003D35D1" w:rsidP="00972118">
      <w:pPr>
        <w:pStyle w:val="ParaLevel1"/>
        <w:numPr>
          <w:ilvl w:val="0"/>
          <w:numId w:val="0"/>
        </w:numPr>
        <w:ind w:left="1418" w:right="793"/>
      </w:pPr>
      <w:r>
        <w:t>“</w:t>
      </w:r>
      <w:r w:rsidR="009A4019">
        <w:t>The</w:t>
      </w:r>
      <w:r w:rsidR="006609DF">
        <w:t xml:space="preserve"> C</w:t>
      </w:r>
      <w:r w:rsidR="006609DF" w:rsidRPr="006609DF">
        <w:t>ommittee also considered</w:t>
      </w:r>
      <w:r w:rsidR="006609DF">
        <w:t xml:space="preserve"> the </w:t>
      </w:r>
      <w:r w:rsidR="009A4019">
        <w:t xml:space="preserve">support provided </w:t>
      </w:r>
      <w:r w:rsidR="006609DF">
        <w:t>by the</w:t>
      </w:r>
      <w:r w:rsidR="009A4019">
        <w:t xml:space="preserve"> School to </w:t>
      </w:r>
      <w:r w:rsidR="006609DF">
        <w:t xml:space="preserve">[TZB] </w:t>
      </w:r>
      <w:r w:rsidR="009A4019">
        <w:t>for his SEN needs</w:t>
      </w:r>
      <w:r w:rsidR="006609DF">
        <w:t>,</w:t>
      </w:r>
      <w:r w:rsidR="009A4019">
        <w:t xml:space="preserve"> these were detailed in the papers provided by the School and discussed in the meeting. The Committee considered that the School had provided considerable support to </w:t>
      </w:r>
      <w:r w:rsidR="003D3B3B">
        <w:t xml:space="preserve">[TZB] </w:t>
      </w:r>
      <w:r w:rsidR="009A4019">
        <w:t>during his time at the School. The Committee further noted that as the exclusion was for a serious breach this information had been provided for context only.</w:t>
      </w:r>
    </w:p>
    <w:p w14:paraId="795B2C36" w14:textId="166D5A71" w:rsidR="003D3B3B" w:rsidRDefault="003D3B3B" w:rsidP="00972118">
      <w:pPr>
        <w:pStyle w:val="ParaLevel1"/>
        <w:numPr>
          <w:ilvl w:val="0"/>
          <w:numId w:val="0"/>
        </w:numPr>
        <w:ind w:left="1418" w:right="793"/>
      </w:pPr>
      <w:r>
        <w:t>…</w:t>
      </w:r>
    </w:p>
    <w:p w14:paraId="3A4DE446" w14:textId="40A0526A" w:rsidR="003D35D1" w:rsidRDefault="003D35D1" w:rsidP="00972118">
      <w:pPr>
        <w:pStyle w:val="ParaLevel1"/>
        <w:numPr>
          <w:ilvl w:val="0"/>
          <w:numId w:val="0"/>
        </w:numPr>
        <w:spacing w:after="480"/>
        <w:ind w:left="1418" w:right="794"/>
        <w:rPr>
          <w:szCs w:val="24"/>
        </w:rPr>
      </w:pPr>
      <w:r>
        <w:t xml:space="preserve">The Committee also considered </w:t>
      </w:r>
      <w:r w:rsidR="00560A75">
        <w:t>[TZB’s]</w:t>
      </w:r>
      <w:r>
        <w:t xml:space="preserve"> background and whether there were any extenuating circumstances or special educational needs. He was entitled to Free School Meals and on the School</w:t>
      </w:r>
      <w:r w:rsidR="008A65D8">
        <w:t>’</w:t>
      </w:r>
      <w:r>
        <w:t xml:space="preserve">s SEN Register at Stage K-SEN Support at the time of the exclusion. </w:t>
      </w:r>
      <w:r w:rsidR="00560A75">
        <w:t xml:space="preserve">[TZB’s] </w:t>
      </w:r>
      <w:r>
        <w:t>ethnicity is stated as Black Caribbean which is a group highlighted by the DfE as having above average levels of exclusion and is a group whic</w:t>
      </w:r>
      <w:r w:rsidR="004D5029">
        <w:t>h</w:t>
      </w:r>
      <w:r>
        <w:t xml:space="preserve"> at</w:t>
      </w:r>
      <w:r w:rsidR="004D5029">
        <w:t xml:space="preserve"> </w:t>
      </w:r>
      <w:r>
        <w:t xml:space="preserve">times </w:t>
      </w:r>
      <w:r w:rsidR="004D5029">
        <w:t>has</w:t>
      </w:r>
      <w:r>
        <w:t xml:space="preserve"> been over-represented in terms of exclusion from </w:t>
      </w:r>
      <w:r w:rsidR="004D5029">
        <w:t>[s</w:t>
      </w:r>
      <w:r>
        <w:t>chools</w:t>
      </w:r>
      <w:r w:rsidR="00104E50">
        <w:t xml:space="preserve"> in the local authority area]</w:t>
      </w:r>
      <w:r>
        <w:t xml:space="preserve">. The </w:t>
      </w:r>
      <w:r w:rsidR="00104E50">
        <w:t>Committee</w:t>
      </w:r>
      <w:r>
        <w:t xml:space="preserve"> agreed tha</w:t>
      </w:r>
      <w:r w:rsidR="0055793D">
        <w:t>t [TZB]</w:t>
      </w:r>
      <w:r>
        <w:t xml:space="preserve"> had</w:t>
      </w:r>
      <w:r w:rsidR="0055793D">
        <w:t xml:space="preserve"> acce</w:t>
      </w:r>
      <w:r>
        <w:t xml:space="preserve">ss to, </w:t>
      </w:r>
      <w:r w:rsidR="0055793D">
        <w:t>an</w:t>
      </w:r>
      <w:r>
        <w:t>d e</w:t>
      </w:r>
      <w:r w:rsidR="0055793D">
        <w:t>n</w:t>
      </w:r>
      <w:r>
        <w:t>gaged in, relevant support and interventions.</w:t>
      </w:r>
      <w:r w:rsidR="00560A75">
        <w:t>”</w:t>
      </w:r>
    </w:p>
    <w:p w14:paraId="2D14BF24" w14:textId="325CB47C" w:rsidR="000956DB" w:rsidRPr="009D13E9" w:rsidRDefault="000772B7" w:rsidP="00972118">
      <w:pPr>
        <w:pStyle w:val="ParaLevel1"/>
        <w:numPr>
          <w:ilvl w:val="0"/>
          <w:numId w:val="0"/>
        </w:numPr>
        <w:rPr>
          <w:szCs w:val="24"/>
          <w:u w:val="single"/>
        </w:rPr>
      </w:pPr>
      <w:r w:rsidRPr="009D13E9">
        <w:rPr>
          <w:szCs w:val="24"/>
          <w:u w:val="single"/>
        </w:rPr>
        <w:t xml:space="preserve">The </w:t>
      </w:r>
      <w:r>
        <w:rPr>
          <w:szCs w:val="24"/>
          <w:u w:val="single"/>
        </w:rPr>
        <w:t xml:space="preserve">IRP </w:t>
      </w:r>
      <w:r w:rsidRPr="009D13E9">
        <w:rPr>
          <w:szCs w:val="24"/>
          <w:u w:val="single"/>
        </w:rPr>
        <w:t>Decision</w:t>
      </w:r>
    </w:p>
    <w:p w14:paraId="4E9CAC32" w14:textId="36FE5EC9" w:rsidR="0097004F" w:rsidRPr="00EB5FED" w:rsidRDefault="006908D7" w:rsidP="00972118">
      <w:pPr>
        <w:pStyle w:val="ParaLevel1"/>
        <w:rPr>
          <w:szCs w:val="24"/>
        </w:rPr>
      </w:pPr>
      <w:r>
        <w:t xml:space="preserve">The hearing took place on </w:t>
      </w:r>
      <w:r w:rsidRPr="00950F98">
        <w:t>25 January and 11 March 2022</w:t>
      </w:r>
      <w:r w:rsidR="00EB5FED">
        <w:t xml:space="preserve">.  </w:t>
      </w:r>
      <w:r w:rsidR="007D4F4F" w:rsidRPr="00EB5FED">
        <w:rPr>
          <w:szCs w:val="24"/>
        </w:rPr>
        <w:t xml:space="preserve">The </w:t>
      </w:r>
      <w:r w:rsidR="004569B3" w:rsidRPr="00EB5FED">
        <w:rPr>
          <w:szCs w:val="24"/>
        </w:rPr>
        <w:t>p</w:t>
      </w:r>
      <w:r w:rsidR="00372332" w:rsidRPr="00EB5FED">
        <w:rPr>
          <w:szCs w:val="24"/>
        </w:rPr>
        <w:t>anel consisted of three people – a lay member (who took the chair)</w:t>
      </w:r>
      <w:r w:rsidR="00EB5FED">
        <w:rPr>
          <w:szCs w:val="24"/>
        </w:rPr>
        <w:t>,</w:t>
      </w:r>
      <w:r w:rsidR="00372332" w:rsidRPr="00EB5FED">
        <w:rPr>
          <w:szCs w:val="24"/>
        </w:rPr>
        <w:t xml:space="preserve"> a </w:t>
      </w:r>
      <w:r w:rsidR="00774086" w:rsidRPr="00EB5FED">
        <w:rPr>
          <w:szCs w:val="24"/>
        </w:rPr>
        <w:t>h</w:t>
      </w:r>
      <w:r w:rsidR="00372332" w:rsidRPr="00EB5FED">
        <w:rPr>
          <w:szCs w:val="24"/>
        </w:rPr>
        <w:t xml:space="preserve">eadteacher member and a governor member.  </w:t>
      </w:r>
      <w:r w:rsidR="00435954">
        <w:rPr>
          <w:szCs w:val="24"/>
        </w:rPr>
        <w:t xml:space="preserve">It was assisted by a SEN expert appointed pursuant to regulation 25 (1) (b).  </w:t>
      </w:r>
      <w:r w:rsidR="00FD44E1" w:rsidRPr="00EB5FED">
        <w:rPr>
          <w:szCs w:val="24"/>
        </w:rPr>
        <w:t>The Claimant</w:t>
      </w:r>
      <w:r w:rsidR="00CD6106" w:rsidRPr="00EB5FED">
        <w:rPr>
          <w:szCs w:val="24"/>
        </w:rPr>
        <w:t xml:space="preserve"> </w:t>
      </w:r>
      <w:r w:rsidR="00BF266C" w:rsidRPr="00EB5FED">
        <w:rPr>
          <w:szCs w:val="24"/>
        </w:rPr>
        <w:t>was</w:t>
      </w:r>
      <w:r w:rsidR="00CD6106" w:rsidRPr="00EB5FED">
        <w:rPr>
          <w:szCs w:val="24"/>
        </w:rPr>
        <w:t xml:space="preserve"> </w:t>
      </w:r>
      <w:r w:rsidR="0097004F" w:rsidRPr="00EB5FED">
        <w:rPr>
          <w:szCs w:val="24"/>
        </w:rPr>
        <w:t>represented</w:t>
      </w:r>
      <w:r w:rsidR="00CD6106" w:rsidRPr="00EB5FED">
        <w:rPr>
          <w:szCs w:val="24"/>
        </w:rPr>
        <w:t xml:space="preserve"> b</w:t>
      </w:r>
      <w:r w:rsidR="0097004F" w:rsidRPr="00EB5FED">
        <w:rPr>
          <w:szCs w:val="24"/>
        </w:rPr>
        <w:t>y</w:t>
      </w:r>
      <w:r w:rsidR="00CD6106" w:rsidRPr="00EB5FED">
        <w:rPr>
          <w:szCs w:val="24"/>
        </w:rPr>
        <w:t xml:space="preserve"> Mr Persey</w:t>
      </w:r>
      <w:r w:rsidR="00BF266C" w:rsidRPr="00EB5FED">
        <w:rPr>
          <w:szCs w:val="24"/>
        </w:rPr>
        <w:t xml:space="preserve"> of counsel (who, as noted above, appears before us)</w:t>
      </w:r>
      <w:r w:rsidR="00FC777A">
        <w:rPr>
          <w:szCs w:val="24"/>
        </w:rPr>
        <w:t xml:space="preserve">, instructed by a solicitor at </w:t>
      </w:r>
      <w:r w:rsidR="00657DC6">
        <w:rPr>
          <w:szCs w:val="24"/>
        </w:rPr>
        <w:t xml:space="preserve">the charity </w:t>
      </w:r>
      <w:r w:rsidR="00FC777A">
        <w:rPr>
          <w:szCs w:val="24"/>
        </w:rPr>
        <w:t>Just for Ki</w:t>
      </w:r>
      <w:r w:rsidR="00711FB6">
        <w:rPr>
          <w:szCs w:val="24"/>
        </w:rPr>
        <w:t>ds Law</w:t>
      </w:r>
      <w:r w:rsidR="007F0696">
        <w:rPr>
          <w:szCs w:val="24"/>
        </w:rPr>
        <w:t xml:space="preserve"> (</w:t>
      </w:r>
      <w:r w:rsidR="00401867">
        <w:rPr>
          <w:szCs w:val="24"/>
        </w:rPr>
        <w:t>“JFKL”)</w:t>
      </w:r>
      <w:r w:rsidR="0097004F" w:rsidRPr="00EB5FED">
        <w:rPr>
          <w:szCs w:val="24"/>
        </w:rPr>
        <w:t xml:space="preserve">.  </w:t>
      </w:r>
      <w:r w:rsidR="00F4541B">
        <w:rPr>
          <w:szCs w:val="24"/>
        </w:rPr>
        <w:t>The School was represented by Mr Richard Wilkins</w:t>
      </w:r>
      <w:r w:rsidR="00543E3F">
        <w:rPr>
          <w:szCs w:val="24"/>
        </w:rPr>
        <w:t>, an employed barrister then with BLM LLP</w:t>
      </w:r>
      <w:r w:rsidR="00F4541B">
        <w:rPr>
          <w:szCs w:val="24"/>
        </w:rPr>
        <w:t xml:space="preserve">.  </w:t>
      </w:r>
      <w:r w:rsidR="0097004F" w:rsidRPr="00EB5FED">
        <w:rPr>
          <w:szCs w:val="24"/>
        </w:rPr>
        <w:t xml:space="preserve">There </w:t>
      </w:r>
      <w:r w:rsidR="00EE5C62" w:rsidRPr="00EB5FED">
        <w:rPr>
          <w:szCs w:val="24"/>
        </w:rPr>
        <w:t xml:space="preserve">was a substantial bundle, containing both the material which </w:t>
      </w:r>
      <w:r w:rsidR="004569B3" w:rsidRPr="00EB5FED">
        <w:rPr>
          <w:szCs w:val="24"/>
        </w:rPr>
        <w:t>had</w:t>
      </w:r>
      <w:r w:rsidR="00EE5C62" w:rsidRPr="00EB5FED">
        <w:rPr>
          <w:szCs w:val="24"/>
        </w:rPr>
        <w:t xml:space="preserve"> been before the GDC and </w:t>
      </w:r>
      <w:r w:rsidR="00735EB4" w:rsidRPr="00EB5FED">
        <w:rPr>
          <w:szCs w:val="24"/>
        </w:rPr>
        <w:t xml:space="preserve">a number of further </w:t>
      </w:r>
      <w:r w:rsidR="000721CB" w:rsidRPr="00EB5FED">
        <w:rPr>
          <w:szCs w:val="24"/>
        </w:rPr>
        <w:t>documents prepared for the IRP’s own hearing.</w:t>
      </w:r>
      <w:r w:rsidR="0097004F" w:rsidRPr="00EB5FED">
        <w:rPr>
          <w:szCs w:val="24"/>
        </w:rPr>
        <w:t xml:space="preserve"> </w:t>
      </w:r>
      <w:r w:rsidR="004569B3" w:rsidRPr="00EB5FED">
        <w:rPr>
          <w:szCs w:val="24"/>
        </w:rPr>
        <w:t>The panel</w:t>
      </w:r>
      <w:r w:rsidR="0097004F" w:rsidRPr="00EB5FED">
        <w:rPr>
          <w:szCs w:val="24"/>
        </w:rPr>
        <w:t xml:space="preserve"> also heard </w:t>
      </w:r>
      <w:r w:rsidR="0057477C">
        <w:rPr>
          <w:szCs w:val="24"/>
        </w:rPr>
        <w:t>oral evidence, including from the Hea</w:t>
      </w:r>
      <w:r w:rsidR="00E8611F">
        <w:rPr>
          <w:szCs w:val="24"/>
        </w:rPr>
        <w:t>d</w:t>
      </w:r>
      <w:r w:rsidR="0057477C">
        <w:rPr>
          <w:szCs w:val="24"/>
        </w:rPr>
        <w:t>teacher</w:t>
      </w:r>
      <w:r w:rsidR="00E8611F">
        <w:rPr>
          <w:szCs w:val="24"/>
        </w:rPr>
        <w:t xml:space="preserve"> and the Chair of the GDC</w:t>
      </w:r>
      <w:r w:rsidR="0097004F" w:rsidRPr="00EB5FED">
        <w:rPr>
          <w:szCs w:val="24"/>
        </w:rPr>
        <w:t>.</w:t>
      </w:r>
    </w:p>
    <w:p w14:paraId="313A7C9C" w14:textId="1D36FD88" w:rsidR="0097004F" w:rsidRDefault="00DE2D83" w:rsidP="00972118">
      <w:pPr>
        <w:pStyle w:val="ParaLevel1"/>
        <w:rPr>
          <w:szCs w:val="24"/>
        </w:rPr>
      </w:pPr>
      <w:r>
        <w:rPr>
          <w:szCs w:val="24"/>
        </w:rPr>
        <w:t xml:space="preserve">The </w:t>
      </w:r>
      <w:r w:rsidR="00B42691">
        <w:rPr>
          <w:szCs w:val="24"/>
        </w:rPr>
        <w:t>IRP’</w:t>
      </w:r>
      <w:r w:rsidR="00B61A20">
        <w:rPr>
          <w:szCs w:val="24"/>
        </w:rPr>
        <w:t xml:space="preserve">s written Decision, dated </w:t>
      </w:r>
      <w:r w:rsidR="00EC4CC1">
        <w:rPr>
          <w:szCs w:val="24"/>
        </w:rPr>
        <w:t>23 March 2022</w:t>
      </w:r>
      <w:r w:rsidR="00853E1E">
        <w:rPr>
          <w:szCs w:val="24"/>
        </w:rPr>
        <w:t>, runs to twelve pages</w:t>
      </w:r>
      <w:r w:rsidR="00C906DF">
        <w:rPr>
          <w:szCs w:val="24"/>
        </w:rPr>
        <w:t>, followed by four annexes</w:t>
      </w:r>
      <w:r w:rsidR="0082758C">
        <w:rPr>
          <w:szCs w:val="24"/>
        </w:rPr>
        <w:t xml:space="preserve">.  </w:t>
      </w:r>
      <w:r w:rsidR="00853E1E">
        <w:rPr>
          <w:szCs w:val="24"/>
        </w:rPr>
        <w:t xml:space="preserve">Again, I focus </w:t>
      </w:r>
      <w:r w:rsidR="00EA676E">
        <w:rPr>
          <w:szCs w:val="24"/>
        </w:rPr>
        <w:t>on the points relevant to the PSED issue</w:t>
      </w:r>
      <w:r w:rsidR="007A261E">
        <w:rPr>
          <w:szCs w:val="24"/>
        </w:rPr>
        <w:t>.</w:t>
      </w:r>
    </w:p>
    <w:p w14:paraId="0C3B242D" w14:textId="0DB001F4" w:rsidR="006F214A" w:rsidRPr="006F214A" w:rsidRDefault="00D57C92" w:rsidP="00972118">
      <w:pPr>
        <w:pStyle w:val="ParaLevel1"/>
        <w:rPr>
          <w:szCs w:val="24"/>
        </w:rPr>
      </w:pPr>
      <w:r>
        <w:rPr>
          <w:szCs w:val="24"/>
        </w:rPr>
        <w:t xml:space="preserve">Section 4 of the Decision summarises the Claimant’s case.  </w:t>
      </w:r>
      <w:r w:rsidR="008D1EC0">
        <w:rPr>
          <w:szCs w:val="24"/>
        </w:rPr>
        <w:t>Para. 4.</w:t>
      </w:r>
      <w:r w:rsidR="00342B69">
        <w:rPr>
          <w:szCs w:val="24"/>
        </w:rPr>
        <w:t>1</w:t>
      </w:r>
      <w:r w:rsidR="00C361B1">
        <w:rPr>
          <w:szCs w:val="24"/>
        </w:rPr>
        <w:t xml:space="preserve"> </w:t>
      </w:r>
      <w:r w:rsidR="008D1EC0">
        <w:rPr>
          <w:szCs w:val="24"/>
        </w:rPr>
        <w:t xml:space="preserve">records her </w:t>
      </w:r>
      <w:r w:rsidR="00A41FD1">
        <w:rPr>
          <w:szCs w:val="24"/>
        </w:rPr>
        <w:t>submission</w:t>
      </w:r>
      <w:r w:rsidR="008D1EC0">
        <w:rPr>
          <w:szCs w:val="24"/>
        </w:rPr>
        <w:t xml:space="preserve"> that “</w:t>
      </w:r>
      <w:r w:rsidR="00A41FD1">
        <w:rPr>
          <w:szCs w:val="24"/>
        </w:rPr>
        <w:t>t</w:t>
      </w:r>
      <w:r w:rsidR="00510D52">
        <w:t xml:space="preserve">he school had not provided a document which demonstrated that they had discharged their public sector equality duty (PSED) prior to the decision to permanently exclude </w:t>
      </w:r>
      <w:r w:rsidR="00DD72D0">
        <w:t>[TZB]</w:t>
      </w:r>
      <w:r w:rsidR="00A41FD1">
        <w:t xml:space="preserve">”, and that such evidence required to be “clearly </w:t>
      </w:r>
      <w:r w:rsidR="00510D52">
        <w:t>documented</w:t>
      </w:r>
      <w:r w:rsidR="00094EB2">
        <w:t xml:space="preserve">”.  </w:t>
      </w:r>
      <w:r w:rsidR="008F32AF">
        <w:t>L</w:t>
      </w:r>
      <w:r w:rsidR="006F214A">
        <w:t xml:space="preserve">ater, at para. 8.9, </w:t>
      </w:r>
      <w:r w:rsidR="00891FB7">
        <w:t>the IRP</w:t>
      </w:r>
      <w:r w:rsidR="006F214A">
        <w:t xml:space="preserve"> observed that it was </w:t>
      </w:r>
      <w:r w:rsidR="00AD2A89">
        <w:t>“</w:t>
      </w:r>
      <w:r w:rsidR="006F214A">
        <w:t>very conscious that at the heart of the Appellant’s case was the school’s failure to discharge its public sector equality duty (paras 8.6, 9.3 &amp; 9.4).”</w:t>
      </w:r>
    </w:p>
    <w:p w14:paraId="77EECA2B" w14:textId="4015A3B8" w:rsidR="001371AC" w:rsidRDefault="00C53808" w:rsidP="00972118">
      <w:pPr>
        <w:pStyle w:val="ParaLevel1"/>
      </w:pPr>
      <w:r>
        <w:rPr>
          <w:szCs w:val="24"/>
        </w:rPr>
        <w:t xml:space="preserve">Section </w:t>
      </w:r>
      <w:r w:rsidR="00227D81">
        <w:rPr>
          <w:szCs w:val="24"/>
        </w:rPr>
        <w:t xml:space="preserve">7 summarises Mr Persey’s closing submissions.  </w:t>
      </w:r>
      <w:r w:rsidR="00024210">
        <w:rPr>
          <w:szCs w:val="24"/>
        </w:rPr>
        <w:t>P</w:t>
      </w:r>
      <w:r w:rsidR="006E3F0A">
        <w:rPr>
          <w:szCs w:val="24"/>
        </w:rPr>
        <w:t>aras. 7.1-7.2</w:t>
      </w:r>
      <w:r w:rsidR="00DE189A">
        <w:rPr>
          <w:szCs w:val="24"/>
        </w:rPr>
        <w:t xml:space="preserve"> emphasise</w:t>
      </w:r>
      <w:r w:rsidR="00C41258">
        <w:rPr>
          <w:szCs w:val="24"/>
        </w:rPr>
        <w:t xml:space="preserve"> the </w:t>
      </w:r>
      <w:r w:rsidR="00CF3516">
        <w:t xml:space="preserve">absence of </w:t>
      </w:r>
      <w:r w:rsidR="00C41258">
        <w:t>“</w:t>
      </w:r>
      <w:r w:rsidR="00CF3516">
        <w:t>a</w:t>
      </w:r>
      <w:r w:rsidR="00C41258">
        <w:t>ny</w:t>
      </w:r>
      <w:r w:rsidR="00CF3516">
        <w:t xml:space="preserve"> documented consideration of </w:t>
      </w:r>
      <w:r w:rsidR="00C41258">
        <w:t>TZB’s</w:t>
      </w:r>
      <w:r w:rsidR="00CF3516">
        <w:t xml:space="preserve"> protected characteristics, SEND and vulnerable groups</w:t>
      </w:r>
      <w:r w:rsidR="00D00DC9">
        <w:t xml:space="preserve">” </w:t>
      </w:r>
      <w:r w:rsidR="0050507E">
        <w:t xml:space="preserve">and the absence of any but the most perfunctory reference in the minutes of the GDC.  </w:t>
      </w:r>
      <w:r w:rsidR="003A7337">
        <w:t xml:space="preserve">Para. 7.3 alleges </w:t>
      </w:r>
      <w:r w:rsidR="00754C20">
        <w:t xml:space="preserve">a failure </w:t>
      </w:r>
      <w:r w:rsidR="00174DDF">
        <w:t xml:space="preserve">by the school to comply </w:t>
      </w:r>
      <w:r w:rsidR="009356EE">
        <w:t>with</w:t>
      </w:r>
      <w:r w:rsidR="005C2E4B">
        <w:t xml:space="preserve"> the </w:t>
      </w:r>
      <w:r w:rsidR="009356EE">
        <w:t xml:space="preserve">“early intervention” </w:t>
      </w:r>
      <w:r w:rsidR="005C2E4B">
        <w:t>requirem</w:t>
      </w:r>
      <w:r w:rsidR="009356EE">
        <w:t>ents of para. 19 of the Guidance</w:t>
      </w:r>
      <w:r w:rsidR="00A124AA">
        <w:t xml:space="preserve"> in the case of a pupil with SEN such as TZB</w:t>
      </w:r>
      <w:r w:rsidR="001371AC">
        <w:t xml:space="preserve">, in particular by conducting reviews after each of </w:t>
      </w:r>
      <w:r w:rsidR="00A124AA">
        <w:t>his</w:t>
      </w:r>
      <w:r w:rsidR="001371AC">
        <w:t xml:space="preserve"> previous fixed-term exclusions.  </w:t>
      </w:r>
      <w:r w:rsidR="009356EE">
        <w:t xml:space="preserve"> </w:t>
      </w:r>
    </w:p>
    <w:p w14:paraId="46979FBB" w14:textId="610C7E67" w:rsidR="00723BEB" w:rsidRDefault="002721B7" w:rsidP="00972118">
      <w:pPr>
        <w:pStyle w:val="ParaLevel1"/>
        <w:rPr>
          <w:szCs w:val="24"/>
        </w:rPr>
      </w:pPr>
      <w:r>
        <w:rPr>
          <w:szCs w:val="24"/>
        </w:rPr>
        <w:t xml:space="preserve">In section 8 of the Decision </w:t>
      </w:r>
      <w:r w:rsidR="00891FB7">
        <w:rPr>
          <w:szCs w:val="24"/>
        </w:rPr>
        <w:t>the IRP</w:t>
      </w:r>
      <w:r>
        <w:rPr>
          <w:szCs w:val="24"/>
        </w:rPr>
        <w:t xml:space="preserve"> asked itself a number of </w:t>
      </w:r>
      <w:r w:rsidR="00FF5602">
        <w:rPr>
          <w:szCs w:val="24"/>
        </w:rPr>
        <w:t xml:space="preserve">questions.  </w:t>
      </w:r>
      <w:r w:rsidR="00C1435D">
        <w:rPr>
          <w:szCs w:val="24"/>
        </w:rPr>
        <w:t xml:space="preserve">In </w:t>
      </w:r>
      <w:r w:rsidR="00723BEB">
        <w:rPr>
          <w:szCs w:val="24"/>
        </w:rPr>
        <w:t xml:space="preserve">connection with </w:t>
      </w:r>
      <w:r w:rsidR="00C1435D">
        <w:rPr>
          <w:szCs w:val="24"/>
        </w:rPr>
        <w:t>the second</w:t>
      </w:r>
      <w:r w:rsidR="00DE189A">
        <w:rPr>
          <w:szCs w:val="24"/>
        </w:rPr>
        <w:t xml:space="preserve"> qu</w:t>
      </w:r>
      <w:r w:rsidR="007C7970">
        <w:rPr>
          <w:szCs w:val="24"/>
        </w:rPr>
        <w:t>e</w:t>
      </w:r>
      <w:r w:rsidR="00DE189A">
        <w:rPr>
          <w:szCs w:val="24"/>
        </w:rPr>
        <w:t>stion</w:t>
      </w:r>
      <w:r w:rsidR="00BA4ED6">
        <w:rPr>
          <w:szCs w:val="24"/>
        </w:rPr>
        <w:t xml:space="preserve">, </w:t>
      </w:r>
      <w:r w:rsidR="00FF51A0">
        <w:rPr>
          <w:szCs w:val="24"/>
        </w:rPr>
        <w:t>i</w:t>
      </w:r>
      <w:r w:rsidR="00723BEB">
        <w:rPr>
          <w:szCs w:val="24"/>
        </w:rPr>
        <w:t>t said, at para. 8.</w:t>
      </w:r>
      <w:r w:rsidR="00210988">
        <w:rPr>
          <w:szCs w:val="24"/>
        </w:rPr>
        <w:t>5</w:t>
      </w:r>
      <w:r w:rsidR="00723BEB">
        <w:rPr>
          <w:szCs w:val="24"/>
        </w:rPr>
        <w:t>:</w:t>
      </w:r>
    </w:p>
    <w:p w14:paraId="203B46F4" w14:textId="42237947" w:rsidR="004875A0" w:rsidRDefault="004875A0" w:rsidP="00972118">
      <w:pPr>
        <w:pStyle w:val="ParaLevel1"/>
        <w:numPr>
          <w:ilvl w:val="0"/>
          <w:numId w:val="0"/>
        </w:numPr>
        <w:ind w:left="1418" w:right="793"/>
        <w:rPr>
          <w:szCs w:val="24"/>
        </w:rPr>
      </w:pPr>
      <w:r>
        <w:t xml:space="preserve">“The public sector equality duty is well defined in </w:t>
      </w:r>
      <w:r w:rsidR="00DE1E48">
        <w:t>[Guidance]</w:t>
      </w:r>
      <w:r>
        <w:t xml:space="preserve"> paras 9-12 and 19. It was exhaustively explored throughout the </w:t>
      </w:r>
      <w:r w:rsidR="00CE01ED">
        <w:t>Panel</w:t>
      </w:r>
      <w:r>
        <w:t xml:space="preserve"> and the Panel’s observations in more detail can be found in paragraph 9 below</w:t>
      </w:r>
      <w:r w:rsidR="006B42D1" w:rsidRPr="006B42D1">
        <w:t>.</w:t>
      </w:r>
      <w:r w:rsidR="00EB39BD">
        <w:t>”</w:t>
      </w:r>
    </w:p>
    <w:p w14:paraId="680AFB80" w14:textId="5E539897" w:rsidR="00D96075" w:rsidRDefault="00E76612" w:rsidP="00972118">
      <w:pPr>
        <w:pStyle w:val="ParaLevel1"/>
        <w:numPr>
          <w:ilvl w:val="0"/>
          <w:numId w:val="0"/>
        </w:numPr>
        <w:ind w:left="720"/>
      </w:pPr>
      <w:r>
        <w:rPr>
          <w:szCs w:val="24"/>
        </w:rPr>
        <w:t>That paragraph starts by explicitly referring to the PSED</w:t>
      </w:r>
      <w:r w:rsidR="0023429E">
        <w:rPr>
          <w:szCs w:val="24"/>
        </w:rPr>
        <w:t>,</w:t>
      </w:r>
      <w:r>
        <w:rPr>
          <w:szCs w:val="24"/>
        </w:rPr>
        <w:t xml:space="preserve"> but </w:t>
      </w:r>
      <w:r w:rsidR="00891FB7">
        <w:rPr>
          <w:szCs w:val="24"/>
        </w:rPr>
        <w:t xml:space="preserve">the </w:t>
      </w:r>
      <w:r w:rsidR="0023429E">
        <w:rPr>
          <w:szCs w:val="24"/>
        </w:rPr>
        <w:t>panel</w:t>
      </w:r>
      <w:r w:rsidR="00CD601D">
        <w:rPr>
          <w:szCs w:val="24"/>
        </w:rPr>
        <w:t xml:space="preserve"> also refers to para. 19 of the Guidance, which, as we have seen, is concerne</w:t>
      </w:r>
      <w:r w:rsidR="003D028C">
        <w:rPr>
          <w:szCs w:val="24"/>
        </w:rPr>
        <w:t>d with the SEND Guidance</w:t>
      </w:r>
      <w:r w:rsidR="00955C17">
        <w:rPr>
          <w:szCs w:val="24"/>
        </w:rPr>
        <w:t xml:space="preserve">.  It goes on to make various specific </w:t>
      </w:r>
      <w:r w:rsidR="00BB54C8">
        <w:rPr>
          <w:szCs w:val="24"/>
        </w:rPr>
        <w:t>criticisms</w:t>
      </w:r>
      <w:r w:rsidR="00955C17">
        <w:rPr>
          <w:szCs w:val="24"/>
        </w:rPr>
        <w:t xml:space="preserve"> </w:t>
      </w:r>
      <w:r w:rsidR="00BB54C8">
        <w:rPr>
          <w:szCs w:val="24"/>
        </w:rPr>
        <w:t xml:space="preserve">on </w:t>
      </w:r>
      <w:r w:rsidR="00522F74">
        <w:rPr>
          <w:szCs w:val="24"/>
        </w:rPr>
        <w:t>that aspect</w:t>
      </w:r>
      <w:r w:rsidR="00BB54C8">
        <w:rPr>
          <w:szCs w:val="24"/>
        </w:rPr>
        <w:t xml:space="preserve">, to which </w:t>
      </w:r>
      <w:r w:rsidR="00792B1A">
        <w:rPr>
          <w:szCs w:val="24"/>
        </w:rPr>
        <w:t xml:space="preserve">I return </w:t>
      </w:r>
      <w:r w:rsidR="005155E4">
        <w:rPr>
          <w:szCs w:val="24"/>
        </w:rPr>
        <w:t>i</w:t>
      </w:r>
      <w:r w:rsidR="00792B1A">
        <w:rPr>
          <w:szCs w:val="24"/>
        </w:rPr>
        <w:t xml:space="preserve">n a different </w:t>
      </w:r>
      <w:r w:rsidR="005155E4">
        <w:rPr>
          <w:szCs w:val="24"/>
        </w:rPr>
        <w:t>context</w:t>
      </w:r>
      <w:r w:rsidR="00792B1A">
        <w:rPr>
          <w:szCs w:val="24"/>
        </w:rPr>
        <w:t xml:space="preserve"> below</w:t>
      </w:r>
      <w:r w:rsidR="00522F74">
        <w:rPr>
          <w:szCs w:val="24"/>
        </w:rPr>
        <w:t xml:space="preserve">.  </w:t>
      </w:r>
    </w:p>
    <w:p w14:paraId="1BC9166B" w14:textId="05C06F34" w:rsidR="00895194" w:rsidRDefault="00E8372D" w:rsidP="00972118">
      <w:pPr>
        <w:pStyle w:val="ParaLevel1"/>
        <w:rPr>
          <w:szCs w:val="24"/>
        </w:rPr>
      </w:pPr>
      <w:r w:rsidRPr="00E8372D">
        <w:rPr>
          <w:szCs w:val="24"/>
        </w:rPr>
        <w:t xml:space="preserve">The </w:t>
      </w:r>
      <w:r w:rsidR="00342B69">
        <w:rPr>
          <w:szCs w:val="24"/>
        </w:rPr>
        <w:t>IRP</w:t>
      </w:r>
      <w:r w:rsidRPr="00E8372D">
        <w:rPr>
          <w:szCs w:val="24"/>
        </w:rPr>
        <w:t xml:space="preserve">’s decision was set out in section 9.  </w:t>
      </w:r>
      <w:r w:rsidR="004B682F">
        <w:rPr>
          <w:szCs w:val="24"/>
        </w:rPr>
        <w:t>As regards the PSED, i</w:t>
      </w:r>
      <w:r w:rsidR="00561ED2">
        <w:rPr>
          <w:szCs w:val="24"/>
        </w:rPr>
        <w:t>t</w:t>
      </w:r>
      <w:r w:rsidR="00893681">
        <w:rPr>
          <w:szCs w:val="24"/>
        </w:rPr>
        <w:t xml:space="preserve"> </w:t>
      </w:r>
      <w:r w:rsidR="00561ED2">
        <w:rPr>
          <w:szCs w:val="24"/>
        </w:rPr>
        <w:t xml:space="preserve">noted at para. 9.3 that </w:t>
      </w:r>
      <w:r w:rsidR="00842422">
        <w:rPr>
          <w:szCs w:val="24"/>
        </w:rPr>
        <w:t>“</w:t>
      </w:r>
      <w:r w:rsidR="00B4279F">
        <w:rPr>
          <w:szCs w:val="24"/>
        </w:rPr>
        <w:t xml:space="preserve">the </w:t>
      </w:r>
      <w:r w:rsidR="00842422">
        <w:rPr>
          <w:szCs w:val="24"/>
        </w:rPr>
        <w:t>School’s</w:t>
      </w:r>
      <w:r w:rsidR="00B4279F">
        <w:rPr>
          <w:szCs w:val="24"/>
        </w:rPr>
        <w:t xml:space="preserve"> </w:t>
      </w:r>
      <w:r w:rsidR="00842422">
        <w:rPr>
          <w:szCs w:val="24"/>
        </w:rPr>
        <w:t xml:space="preserve">failure to document </w:t>
      </w:r>
      <w:r w:rsidR="004C2748">
        <w:rPr>
          <w:szCs w:val="24"/>
        </w:rPr>
        <w:t xml:space="preserve">that it had taken everything including PSED into consideration” was at the heart of </w:t>
      </w:r>
      <w:r w:rsidR="00561ED2">
        <w:rPr>
          <w:szCs w:val="24"/>
        </w:rPr>
        <w:t>the Claimant’s ca</w:t>
      </w:r>
      <w:r w:rsidR="0012748E">
        <w:rPr>
          <w:szCs w:val="24"/>
        </w:rPr>
        <w:t xml:space="preserve">se.  At </w:t>
      </w:r>
      <w:r w:rsidR="00243DF6">
        <w:rPr>
          <w:szCs w:val="24"/>
        </w:rPr>
        <w:t>para. 9.4 it concluded that “this specific PSED statement is not a statutory requirement</w:t>
      </w:r>
      <w:r w:rsidR="004B682F">
        <w:rPr>
          <w:szCs w:val="24"/>
        </w:rPr>
        <w:t>”</w:t>
      </w:r>
      <w:r w:rsidR="0012748E">
        <w:rPr>
          <w:szCs w:val="24"/>
        </w:rPr>
        <w:t xml:space="preserve">; but there were </w:t>
      </w:r>
      <w:r w:rsidR="00AB72B6">
        <w:rPr>
          <w:szCs w:val="24"/>
        </w:rPr>
        <w:t xml:space="preserve">nevertheless other reasons for it to recommend </w:t>
      </w:r>
      <w:r w:rsidR="00895194">
        <w:rPr>
          <w:szCs w:val="24"/>
        </w:rPr>
        <w:t xml:space="preserve">that the </w:t>
      </w:r>
      <w:r w:rsidR="000B1896">
        <w:rPr>
          <w:szCs w:val="24"/>
        </w:rPr>
        <w:t>GDC</w:t>
      </w:r>
      <w:r w:rsidR="00895194">
        <w:rPr>
          <w:szCs w:val="24"/>
        </w:rPr>
        <w:t xml:space="preserve"> reconsider its decision</w:t>
      </w:r>
      <w:r w:rsidR="000772B7">
        <w:rPr>
          <w:szCs w:val="24"/>
        </w:rPr>
        <w:t xml:space="preserve"> (I return to these later)</w:t>
      </w:r>
      <w:r w:rsidR="00895194">
        <w:rPr>
          <w:szCs w:val="24"/>
        </w:rPr>
        <w:t>.</w:t>
      </w:r>
    </w:p>
    <w:p w14:paraId="6CABEACC" w14:textId="26CCC966" w:rsidR="00895194" w:rsidRPr="00162A23" w:rsidRDefault="001D0822" w:rsidP="00972118">
      <w:pPr>
        <w:pStyle w:val="ParaLevel1"/>
        <w:numPr>
          <w:ilvl w:val="0"/>
          <w:numId w:val="0"/>
        </w:numPr>
        <w:rPr>
          <w:szCs w:val="24"/>
          <w:u w:val="single"/>
        </w:rPr>
      </w:pPr>
      <w:r>
        <w:rPr>
          <w:szCs w:val="24"/>
          <w:u w:val="single"/>
        </w:rPr>
        <w:t>The GDC’s Reconsideration</w:t>
      </w:r>
    </w:p>
    <w:p w14:paraId="10AAB08D" w14:textId="31E79B15" w:rsidR="00D83D01" w:rsidRDefault="005A01AD" w:rsidP="00972118">
      <w:pPr>
        <w:pStyle w:val="ParaLevel1"/>
        <w:rPr>
          <w:szCs w:val="24"/>
        </w:rPr>
      </w:pPr>
      <w:r w:rsidRPr="00217CEC">
        <w:rPr>
          <w:szCs w:val="24"/>
        </w:rPr>
        <w:t xml:space="preserve">Regulation </w:t>
      </w:r>
      <w:r w:rsidR="000F737D" w:rsidRPr="00217CEC">
        <w:rPr>
          <w:szCs w:val="24"/>
        </w:rPr>
        <w:t xml:space="preserve">26 </w:t>
      </w:r>
      <w:r w:rsidR="00664021">
        <w:rPr>
          <w:szCs w:val="24"/>
        </w:rPr>
        <w:t>governs reconsideration</w:t>
      </w:r>
      <w:r w:rsidR="00F76034">
        <w:rPr>
          <w:szCs w:val="24"/>
        </w:rPr>
        <w:t xml:space="preserve">.  </w:t>
      </w:r>
      <w:r w:rsidR="002273CE">
        <w:rPr>
          <w:szCs w:val="24"/>
        </w:rPr>
        <w:t>At the material time it</w:t>
      </w:r>
      <w:r w:rsidR="00D83D01">
        <w:rPr>
          <w:szCs w:val="24"/>
        </w:rPr>
        <w:t xml:space="preserve"> read, so far as relevant</w:t>
      </w:r>
      <w:r w:rsidR="00664021">
        <w:rPr>
          <w:szCs w:val="24"/>
        </w:rPr>
        <w:t xml:space="preserve">, </w:t>
      </w:r>
      <w:r w:rsidR="00D83D01">
        <w:rPr>
          <w:szCs w:val="24"/>
        </w:rPr>
        <w:t>as follows:</w:t>
      </w:r>
    </w:p>
    <w:p w14:paraId="232C6505" w14:textId="36854A8D" w:rsidR="00D83D01" w:rsidRDefault="001714B3" w:rsidP="00972118">
      <w:pPr>
        <w:pStyle w:val="ParaLevel1"/>
        <w:numPr>
          <w:ilvl w:val="0"/>
          <w:numId w:val="0"/>
        </w:numPr>
        <w:ind w:left="1418" w:right="793"/>
        <w:rPr>
          <w:lang w:eastAsia="en-GB"/>
        </w:rPr>
      </w:pPr>
      <w:r>
        <w:t>“</w:t>
      </w:r>
      <w:r w:rsidR="00D83D01">
        <w:t>(1)  Where the review panel—</w:t>
      </w:r>
    </w:p>
    <w:p w14:paraId="792C2C28" w14:textId="2D3B6884" w:rsidR="00D83D01" w:rsidRDefault="00D83D01" w:rsidP="00972118">
      <w:pPr>
        <w:pStyle w:val="ParaLevel1"/>
        <w:numPr>
          <w:ilvl w:val="0"/>
          <w:numId w:val="0"/>
        </w:numPr>
        <w:ind w:left="1985" w:right="794" w:hanging="567"/>
      </w:pPr>
      <w:r>
        <w:t>(a) </w:t>
      </w:r>
      <w:r w:rsidR="002639FE">
        <w:tab/>
      </w:r>
      <w:r>
        <w:t>recommends that the proprietor reconsiders a decision not to reinstate a pupil who has been permanently excluded; or</w:t>
      </w:r>
    </w:p>
    <w:p w14:paraId="2EA6F557" w14:textId="6EBE1E0C" w:rsidR="00D83D01" w:rsidRDefault="00D83D01" w:rsidP="00972118">
      <w:pPr>
        <w:pStyle w:val="ParaLevel1"/>
        <w:numPr>
          <w:ilvl w:val="0"/>
          <w:numId w:val="0"/>
        </w:numPr>
        <w:ind w:left="1985" w:right="794" w:hanging="567"/>
      </w:pPr>
      <w:r>
        <w:t>(b)  </w:t>
      </w:r>
      <w:r w:rsidR="009243A5">
        <w:t xml:space="preserve">   </w:t>
      </w:r>
      <w:r w:rsidR="002639FE">
        <w:t>…</w:t>
      </w:r>
      <w:r>
        <w:t>,</w:t>
      </w:r>
      <w:r w:rsidR="009243A5">
        <w:t xml:space="preserve">   </w:t>
      </w:r>
    </w:p>
    <w:p w14:paraId="561ED95B" w14:textId="3BA9A49A" w:rsidR="00D83D01" w:rsidRDefault="00D83D01" w:rsidP="00972118">
      <w:pPr>
        <w:pStyle w:val="ParaLevel1"/>
        <w:numPr>
          <w:ilvl w:val="0"/>
          <w:numId w:val="0"/>
        </w:numPr>
        <w:ind w:left="1985" w:right="794" w:hanging="567"/>
      </w:pPr>
      <w:r>
        <w:t>the proprietor</w:t>
      </w:r>
      <w:r w:rsidR="002639FE">
        <w:t xml:space="preserve"> …</w:t>
      </w:r>
      <w:r>
        <w:t xml:space="preserve"> must reconsider the exclusion.</w:t>
      </w:r>
    </w:p>
    <w:p w14:paraId="78854E39" w14:textId="48DB4C22" w:rsidR="00D83D01" w:rsidRDefault="00D83D01" w:rsidP="00972118">
      <w:pPr>
        <w:pStyle w:val="ParaLevel1"/>
        <w:numPr>
          <w:ilvl w:val="0"/>
          <w:numId w:val="0"/>
        </w:numPr>
        <w:ind w:left="1418" w:right="793"/>
      </w:pPr>
      <w:r>
        <w:t>(2)  When the proprietor has reconsidered its decision it must inform the relevant person, the principal and the local authority of its reconsidered decision and the reasons for it without delay.</w:t>
      </w:r>
    </w:p>
    <w:p w14:paraId="6A460BB1" w14:textId="5C58FAD5" w:rsidR="004A4970" w:rsidRDefault="004A4970" w:rsidP="00972118">
      <w:pPr>
        <w:pStyle w:val="ParaLevel1"/>
        <w:numPr>
          <w:ilvl w:val="0"/>
          <w:numId w:val="0"/>
        </w:numPr>
        <w:ind w:left="1418" w:right="793"/>
      </w:pPr>
      <w:r>
        <w:t>(3)  …”</w:t>
      </w:r>
    </w:p>
    <w:p w14:paraId="0403E721" w14:textId="175762FC" w:rsidR="007E74B0" w:rsidRPr="00217CEC" w:rsidRDefault="00A84B77" w:rsidP="00972118">
      <w:pPr>
        <w:pStyle w:val="ParaLevel1"/>
        <w:rPr>
          <w:szCs w:val="24"/>
        </w:rPr>
      </w:pPr>
      <w:r>
        <w:rPr>
          <w:szCs w:val="24"/>
        </w:rPr>
        <w:t xml:space="preserve">It will be seen that the regulation does not prescribe what form the reconsideration should take.  </w:t>
      </w:r>
      <w:r w:rsidR="00541727" w:rsidRPr="00217CEC">
        <w:rPr>
          <w:szCs w:val="24"/>
        </w:rPr>
        <w:t xml:space="preserve">However, </w:t>
      </w:r>
      <w:r w:rsidR="00031FF3">
        <w:rPr>
          <w:szCs w:val="24"/>
        </w:rPr>
        <w:t xml:space="preserve">that is addressed in </w:t>
      </w:r>
      <w:r w:rsidR="00217CEC">
        <w:rPr>
          <w:szCs w:val="24"/>
        </w:rPr>
        <w:t xml:space="preserve">section 10 of </w:t>
      </w:r>
      <w:r w:rsidR="00541727" w:rsidRPr="00217CEC">
        <w:rPr>
          <w:szCs w:val="24"/>
        </w:rPr>
        <w:t>the Guidance</w:t>
      </w:r>
      <w:r w:rsidR="00031FF3">
        <w:rPr>
          <w:szCs w:val="24"/>
        </w:rPr>
        <w:t>, which</w:t>
      </w:r>
      <w:r w:rsidR="00541727" w:rsidRPr="00217CEC">
        <w:rPr>
          <w:szCs w:val="24"/>
        </w:rPr>
        <w:t xml:space="preserve"> </w:t>
      </w:r>
      <w:r w:rsidR="00217CEC">
        <w:rPr>
          <w:szCs w:val="24"/>
        </w:rPr>
        <w:t>is</w:t>
      </w:r>
      <w:r w:rsidR="007B59B9" w:rsidRPr="00217CEC">
        <w:rPr>
          <w:szCs w:val="24"/>
        </w:rPr>
        <w:t xml:space="preserve"> headed “</w:t>
      </w:r>
      <w:r w:rsidR="00156BE5" w:rsidRPr="00217CEC">
        <w:rPr>
          <w:szCs w:val="24"/>
        </w:rPr>
        <w:t>Statutory guidance on the governing body’s duty to reconsider reinstatement following a review”.  Para. 176 reads</w:t>
      </w:r>
      <w:r w:rsidR="00C73AF4" w:rsidRPr="00217CEC">
        <w:rPr>
          <w:szCs w:val="24"/>
        </w:rPr>
        <w:t>:</w:t>
      </w:r>
    </w:p>
    <w:p w14:paraId="4F117459" w14:textId="53693543" w:rsidR="000B1896" w:rsidRDefault="00901531" w:rsidP="00972118">
      <w:pPr>
        <w:pStyle w:val="ParaLevel1"/>
        <w:numPr>
          <w:ilvl w:val="0"/>
          <w:numId w:val="0"/>
        </w:numPr>
        <w:ind w:left="1418" w:right="793"/>
        <w:rPr>
          <w:szCs w:val="24"/>
        </w:rPr>
      </w:pPr>
      <w:r>
        <w:rPr>
          <w:szCs w:val="24"/>
        </w:rPr>
        <w:t>“</w:t>
      </w:r>
      <w:r w:rsidR="000B1896" w:rsidRPr="00E125BB">
        <w:rPr>
          <w:szCs w:val="24"/>
        </w:rPr>
        <w:t>The reconsideration provides an opportunity for the governing body to look afresh at the question of reinstating the pupil, in light of the findings of the independent review panel. There is no requirement to seek further representations from other parties or to invite them to the reconsideration meeting. The governing body is not prevented from taking into account other matters that it considers relevant. It should, however, take care to ensure that any additional information does not make the decision unlawful. This could be the case, for example, where new evidence is presented or information is considered that is irrelevant to the decision at hand.</w:t>
      </w:r>
      <w:r w:rsidR="009A4543">
        <w:rPr>
          <w:szCs w:val="24"/>
        </w:rPr>
        <w:t>”</w:t>
      </w:r>
    </w:p>
    <w:p w14:paraId="0FA9F7D5" w14:textId="60CC7569" w:rsidR="00D91C39" w:rsidRPr="00D91C39" w:rsidRDefault="00CA488C" w:rsidP="00972118">
      <w:pPr>
        <w:pStyle w:val="ParaLevel1"/>
        <w:rPr>
          <w:lang w:eastAsia="en-GB"/>
        </w:rPr>
      </w:pPr>
      <w:bookmarkStart w:id="13" w:name="para87"/>
      <w:r w:rsidRPr="00533AA5">
        <w:rPr>
          <w:color w:val="000000"/>
          <w:szCs w:val="24"/>
        </w:rPr>
        <w:t xml:space="preserve">In </w:t>
      </w:r>
      <w:r w:rsidRPr="00533AA5">
        <w:rPr>
          <w:i/>
          <w:iCs/>
          <w:color w:val="000000"/>
          <w:szCs w:val="24"/>
        </w:rPr>
        <w:t>R</w:t>
      </w:r>
      <w:r w:rsidR="001517E0" w:rsidRPr="00533AA5">
        <w:rPr>
          <w:i/>
          <w:iCs/>
          <w:color w:val="000000"/>
          <w:szCs w:val="24"/>
        </w:rPr>
        <w:t xml:space="preserve"> (a</w:t>
      </w:r>
      <w:r w:rsidRPr="00533AA5">
        <w:rPr>
          <w:i/>
          <w:iCs/>
          <w:color w:val="000000"/>
          <w:szCs w:val="24"/>
        </w:rPr>
        <w:t xml:space="preserve"> Parent</w:t>
      </w:r>
      <w:r w:rsidR="001517E0" w:rsidRPr="00533AA5">
        <w:rPr>
          <w:i/>
          <w:iCs/>
          <w:color w:val="000000"/>
          <w:szCs w:val="24"/>
        </w:rPr>
        <w:t>)</w:t>
      </w:r>
      <w:r w:rsidRPr="00533AA5">
        <w:rPr>
          <w:i/>
          <w:iCs/>
          <w:color w:val="000000"/>
          <w:szCs w:val="24"/>
        </w:rPr>
        <w:t xml:space="preserve"> v </w:t>
      </w:r>
      <w:r w:rsidR="00D434CD">
        <w:rPr>
          <w:i/>
          <w:iCs/>
          <w:color w:val="000000"/>
          <w:szCs w:val="24"/>
        </w:rPr>
        <w:t>Governing Body</w:t>
      </w:r>
      <w:r w:rsidRPr="00533AA5">
        <w:rPr>
          <w:i/>
          <w:iCs/>
          <w:color w:val="000000"/>
          <w:szCs w:val="24"/>
        </w:rPr>
        <w:t xml:space="preserve"> of XYZ</w:t>
      </w:r>
      <w:r w:rsidR="00D434CD">
        <w:rPr>
          <w:i/>
          <w:iCs/>
          <w:color w:val="000000"/>
          <w:szCs w:val="24"/>
        </w:rPr>
        <w:t xml:space="preserve"> School</w:t>
      </w:r>
      <w:r w:rsidRPr="00533AA5">
        <w:rPr>
          <w:color w:val="000000"/>
          <w:szCs w:val="24"/>
        </w:rPr>
        <w:t xml:space="preserve"> [2022] EWHC 1146 (Admin)</w:t>
      </w:r>
      <w:r w:rsidR="001517E0" w:rsidRPr="00533AA5">
        <w:rPr>
          <w:color w:val="000000"/>
          <w:szCs w:val="24"/>
        </w:rPr>
        <w:t xml:space="preserve"> </w:t>
      </w:r>
      <w:r w:rsidR="002017A2">
        <w:rPr>
          <w:color w:val="000000"/>
          <w:szCs w:val="24"/>
        </w:rPr>
        <w:t>(“</w:t>
      </w:r>
      <w:r w:rsidR="002017A2" w:rsidRPr="002017A2">
        <w:rPr>
          <w:i/>
          <w:iCs/>
          <w:color w:val="000000"/>
          <w:szCs w:val="24"/>
        </w:rPr>
        <w:t>XYZ</w:t>
      </w:r>
      <w:r w:rsidR="002017A2">
        <w:rPr>
          <w:color w:val="000000"/>
          <w:szCs w:val="24"/>
        </w:rPr>
        <w:t xml:space="preserve">”) </w:t>
      </w:r>
      <w:r w:rsidR="001517E0" w:rsidRPr="002017A2">
        <w:rPr>
          <w:color w:val="000000"/>
          <w:szCs w:val="24"/>
        </w:rPr>
        <w:t>one</w:t>
      </w:r>
      <w:r w:rsidR="001517E0" w:rsidRPr="00533AA5">
        <w:rPr>
          <w:color w:val="000000"/>
          <w:szCs w:val="24"/>
        </w:rPr>
        <w:t xml:space="preserve"> of the grounds of challenge was that</w:t>
      </w:r>
      <w:r w:rsidR="00002023" w:rsidRPr="00533AA5">
        <w:rPr>
          <w:color w:val="000000"/>
          <w:szCs w:val="24"/>
        </w:rPr>
        <w:t xml:space="preserve"> a reconsideration had taken the form of a review </w:t>
      </w:r>
      <w:r w:rsidR="00C271C1" w:rsidRPr="00533AA5">
        <w:rPr>
          <w:color w:val="000000"/>
          <w:szCs w:val="24"/>
        </w:rPr>
        <w:t xml:space="preserve">of the earlier decision rather than considering </w:t>
      </w:r>
      <w:r w:rsidR="00533AA5" w:rsidRPr="00533AA5">
        <w:rPr>
          <w:color w:val="000000"/>
          <w:szCs w:val="24"/>
        </w:rPr>
        <w:t>“</w:t>
      </w:r>
      <w:r w:rsidR="00C271C1" w:rsidRPr="00533AA5">
        <w:rPr>
          <w:color w:val="000000"/>
          <w:szCs w:val="24"/>
        </w:rPr>
        <w:t>afresh</w:t>
      </w:r>
      <w:r w:rsidR="00533AA5" w:rsidRPr="00533AA5">
        <w:rPr>
          <w:color w:val="000000"/>
          <w:szCs w:val="24"/>
        </w:rPr>
        <w:t>”</w:t>
      </w:r>
      <w:r w:rsidR="00C271C1" w:rsidRPr="00533AA5">
        <w:rPr>
          <w:color w:val="000000"/>
          <w:szCs w:val="24"/>
        </w:rPr>
        <w:t xml:space="preserve"> whether the pupil should be reinstated.  </w:t>
      </w:r>
      <w:r w:rsidR="001517E0" w:rsidRPr="00533AA5">
        <w:rPr>
          <w:color w:val="000000"/>
          <w:szCs w:val="24"/>
        </w:rPr>
        <w:t xml:space="preserve"> </w:t>
      </w:r>
      <w:r w:rsidR="00D91C39">
        <w:rPr>
          <w:color w:val="000000"/>
          <w:szCs w:val="24"/>
        </w:rPr>
        <w:t>Lang J said, at para. 87:</w:t>
      </w:r>
    </w:p>
    <w:p w14:paraId="7263AA40" w14:textId="0C91936C" w:rsidR="00C73AF4" w:rsidRDefault="00D91C39" w:rsidP="00972118">
      <w:pPr>
        <w:pStyle w:val="ParaLevel1"/>
        <w:numPr>
          <w:ilvl w:val="0"/>
          <w:numId w:val="0"/>
        </w:numPr>
        <w:ind w:left="1418" w:right="793"/>
        <w:rPr>
          <w:lang w:eastAsia="en-GB"/>
        </w:rPr>
      </w:pPr>
      <w:r>
        <w:t>“</w:t>
      </w:r>
      <w:r w:rsidR="00C73AF4">
        <w:t>In my view, the form of reconsideration that the School Exclusion Guidance envisages and that the Claimant</w:t>
      </w:r>
      <w:r>
        <w:t>’</w:t>
      </w:r>
      <w:r w:rsidR="00C73AF4">
        <w:t>s solicitors advocated, is for a governing body panel to review the material presented at the original hearing, and to consider whether or not its previous findings and decision should be changed or upheld. There is a residual discretion to consider new information, if relevant.</w:t>
      </w:r>
      <w:bookmarkEnd w:id="13"/>
      <w:r w:rsidR="00220F78">
        <w:t>”</w:t>
      </w:r>
    </w:p>
    <w:p w14:paraId="74874897" w14:textId="21A8A018" w:rsidR="00C73AF4" w:rsidRDefault="00220F78" w:rsidP="00972118">
      <w:pPr>
        <w:pStyle w:val="ParaLevel1"/>
        <w:numPr>
          <w:ilvl w:val="0"/>
          <w:numId w:val="0"/>
        </w:numPr>
        <w:ind w:left="720"/>
        <w:rPr>
          <w:szCs w:val="24"/>
        </w:rPr>
      </w:pPr>
      <w:r>
        <w:rPr>
          <w:szCs w:val="24"/>
        </w:rPr>
        <w:t>In my view that is correct.</w:t>
      </w:r>
    </w:p>
    <w:p w14:paraId="56548EF2" w14:textId="6DA21E77" w:rsidR="007D43F5" w:rsidRDefault="00692B05" w:rsidP="00972118">
      <w:pPr>
        <w:pStyle w:val="ParaLevel1"/>
        <w:rPr>
          <w:szCs w:val="24"/>
        </w:rPr>
      </w:pPr>
      <w:r>
        <w:rPr>
          <w:szCs w:val="24"/>
        </w:rPr>
        <w:t xml:space="preserve">As appears from </w:t>
      </w:r>
      <w:r w:rsidR="008C28F6">
        <w:rPr>
          <w:szCs w:val="24"/>
        </w:rPr>
        <w:t xml:space="preserve">para. 176 of </w:t>
      </w:r>
      <w:r>
        <w:rPr>
          <w:szCs w:val="24"/>
        </w:rPr>
        <w:t>the Guidance</w:t>
      </w:r>
      <w:r w:rsidR="00025218">
        <w:rPr>
          <w:szCs w:val="24"/>
        </w:rPr>
        <w:t>,</w:t>
      </w:r>
      <w:r w:rsidR="00F415B2">
        <w:rPr>
          <w:szCs w:val="24"/>
        </w:rPr>
        <w:t xml:space="preserve"> </w:t>
      </w:r>
      <w:r w:rsidR="00A63B01">
        <w:rPr>
          <w:szCs w:val="24"/>
        </w:rPr>
        <w:t xml:space="preserve">the </w:t>
      </w:r>
      <w:r w:rsidR="000B1896">
        <w:rPr>
          <w:szCs w:val="24"/>
        </w:rPr>
        <w:t>GDC</w:t>
      </w:r>
      <w:r w:rsidR="00A63B01">
        <w:rPr>
          <w:szCs w:val="24"/>
        </w:rPr>
        <w:t xml:space="preserve"> </w:t>
      </w:r>
      <w:r w:rsidR="00025218">
        <w:rPr>
          <w:szCs w:val="24"/>
        </w:rPr>
        <w:t>was not obliged to seek any further representations from the family or the School.</w:t>
      </w:r>
      <w:r w:rsidR="00D350C7">
        <w:rPr>
          <w:szCs w:val="24"/>
        </w:rPr>
        <w:t xml:space="preserve">  In the </w:t>
      </w:r>
      <w:r w:rsidR="009A43DA">
        <w:rPr>
          <w:szCs w:val="24"/>
        </w:rPr>
        <w:t xml:space="preserve">event it </w:t>
      </w:r>
      <w:r w:rsidR="00717776">
        <w:rPr>
          <w:szCs w:val="24"/>
        </w:rPr>
        <w:t xml:space="preserve">permitted such representations, but </w:t>
      </w:r>
      <w:r w:rsidR="005B49C3">
        <w:rPr>
          <w:szCs w:val="24"/>
        </w:rPr>
        <w:t>I need</w:t>
      </w:r>
      <w:r w:rsidR="003030E7">
        <w:rPr>
          <w:szCs w:val="24"/>
        </w:rPr>
        <w:t xml:space="preserve"> to identify the basis on which it did so</w:t>
      </w:r>
      <w:r w:rsidR="008C28F6">
        <w:rPr>
          <w:szCs w:val="24"/>
        </w:rPr>
        <w:t>.</w:t>
      </w:r>
      <w:r w:rsidR="00302DAE">
        <w:rPr>
          <w:szCs w:val="24"/>
        </w:rPr>
        <w:t xml:space="preserve">  </w:t>
      </w:r>
      <w:r w:rsidR="00383432">
        <w:rPr>
          <w:szCs w:val="24"/>
        </w:rPr>
        <w:t>The</w:t>
      </w:r>
      <w:r w:rsidR="00302DAE">
        <w:rPr>
          <w:szCs w:val="24"/>
        </w:rPr>
        <w:t xml:space="preserve"> Cl</w:t>
      </w:r>
      <w:r w:rsidR="000F24C5">
        <w:rPr>
          <w:szCs w:val="24"/>
        </w:rPr>
        <w:t xml:space="preserve">aimant </w:t>
      </w:r>
      <w:r w:rsidR="006B2E76">
        <w:rPr>
          <w:szCs w:val="24"/>
        </w:rPr>
        <w:t xml:space="preserve">believed that </w:t>
      </w:r>
      <w:r w:rsidR="00A91954">
        <w:rPr>
          <w:szCs w:val="24"/>
        </w:rPr>
        <w:t xml:space="preserve">the parts of the </w:t>
      </w:r>
      <w:r w:rsidR="006B2E76">
        <w:rPr>
          <w:szCs w:val="24"/>
        </w:rPr>
        <w:t>IRP</w:t>
      </w:r>
      <w:r w:rsidR="00A91954">
        <w:rPr>
          <w:szCs w:val="24"/>
        </w:rPr>
        <w:t xml:space="preserve">’s decision relating to the PSED were wrong in law, and JFKL </w:t>
      </w:r>
      <w:r w:rsidR="00BE72FA">
        <w:rPr>
          <w:szCs w:val="24"/>
        </w:rPr>
        <w:t>wrote a pre-action protocol letter</w:t>
      </w:r>
      <w:r w:rsidR="00037B11">
        <w:rPr>
          <w:szCs w:val="24"/>
        </w:rPr>
        <w:t xml:space="preserve"> threatening proceedings </w:t>
      </w:r>
      <w:r w:rsidR="003030E7">
        <w:rPr>
          <w:szCs w:val="24"/>
        </w:rPr>
        <w:t xml:space="preserve">on that basis, </w:t>
      </w:r>
      <w:r w:rsidR="00037B11">
        <w:rPr>
          <w:szCs w:val="24"/>
        </w:rPr>
        <w:t xml:space="preserve">in which the IRP would be a defendant and the School would be an interested party.  </w:t>
      </w:r>
      <w:r w:rsidR="00E72AED">
        <w:rPr>
          <w:szCs w:val="24"/>
        </w:rPr>
        <w:t>In response</w:t>
      </w:r>
      <w:r w:rsidR="00ED00C8">
        <w:rPr>
          <w:szCs w:val="24"/>
        </w:rPr>
        <w:t xml:space="preserve"> t</w:t>
      </w:r>
      <w:r w:rsidR="00BE72FA">
        <w:rPr>
          <w:szCs w:val="24"/>
        </w:rPr>
        <w:t>he Sch</w:t>
      </w:r>
      <w:r w:rsidR="00037B11">
        <w:rPr>
          <w:szCs w:val="24"/>
        </w:rPr>
        <w:t xml:space="preserve">ool </w:t>
      </w:r>
      <w:r w:rsidR="00E72AED">
        <w:rPr>
          <w:szCs w:val="24"/>
        </w:rPr>
        <w:t xml:space="preserve">made clear that </w:t>
      </w:r>
      <w:r w:rsidR="00ED00C8">
        <w:rPr>
          <w:szCs w:val="24"/>
        </w:rPr>
        <w:t xml:space="preserve">it would have no objection to the GDC including the PSED issue in </w:t>
      </w:r>
      <w:r w:rsidR="00AE1298">
        <w:rPr>
          <w:szCs w:val="24"/>
        </w:rPr>
        <w:t>the reconsideration which it was obliged to carry out in any event in the light of the IRP’s other criticisms</w:t>
      </w:r>
      <w:r w:rsidR="003D699D">
        <w:rPr>
          <w:szCs w:val="24"/>
        </w:rPr>
        <w:t>;</w:t>
      </w:r>
      <w:r w:rsidR="00922163">
        <w:rPr>
          <w:szCs w:val="24"/>
        </w:rPr>
        <w:t xml:space="preserve"> and on that basis the </w:t>
      </w:r>
      <w:r w:rsidR="00617E8C">
        <w:rPr>
          <w:szCs w:val="24"/>
        </w:rPr>
        <w:t xml:space="preserve">Claimant decided not to proceed with its proposed claim.  </w:t>
      </w:r>
      <w:r w:rsidR="00CF19B3">
        <w:rPr>
          <w:szCs w:val="24"/>
        </w:rPr>
        <w:t>Although we do not have full details, i</w:t>
      </w:r>
      <w:r w:rsidR="00AC1665">
        <w:rPr>
          <w:szCs w:val="24"/>
        </w:rPr>
        <w:t xml:space="preserve">t </w:t>
      </w:r>
      <w:r w:rsidR="00966DC9">
        <w:rPr>
          <w:szCs w:val="24"/>
        </w:rPr>
        <w:t>appears</w:t>
      </w:r>
      <w:r w:rsidR="00AC1665">
        <w:rPr>
          <w:szCs w:val="24"/>
        </w:rPr>
        <w:t xml:space="preserve"> </w:t>
      </w:r>
      <w:r w:rsidR="00CF19B3">
        <w:rPr>
          <w:szCs w:val="24"/>
        </w:rPr>
        <w:t>that it was</w:t>
      </w:r>
      <w:r w:rsidR="00AC1665">
        <w:rPr>
          <w:szCs w:val="24"/>
        </w:rPr>
        <w:t xml:space="preserve"> agreed, not only between the Claimant and the School </w:t>
      </w:r>
      <w:r w:rsidR="009F681F">
        <w:rPr>
          <w:szCs w:val="24"/>
        </w:rPr>
        <w:t>but also with the GDC, that the GDC would entertain written submissions</w:t>
      </w:r>
      <w:r w:rsidR="00966DC9">
        <w:rPr>
          <w:szCs w:val="24"/>
        </w:rPr>
        <w:t xml:space="preserve"> and </w:t>
      </w:r>
      <w:r w:rsidR="008C12C6">
        <w:rPr>
          <w:szCs w:val="24"/>
        </w:rPr>
        <w:t xml:space="preserve">also </w:t>
      </w:r>
      <w:r w:rsidR="00966DC9">
        <w:rPr>
          <w:szCs w:val="24"/>
        </w:rPr>
        <w:t xml:space="preserve">that Mr Persey and Mr Wilkins could </w:t>
      </w:r>
      <w:r w:rsidR="00FA0C76">
        <w:rPr>
          <w:szCs w:val="24"/>
        </w:rPr>
        <w:t>attend</w:t>
      </w:r>
      <w:r w:rsidR="00966DC9">
        <w:rPr>
          <w:szCs w:val="24"/>
        </w:rPr>
        <w:t xml:space="preserve"> its meeting </w:t>
      </w:r>
      <w:r w:rsidR="00FA0C76">
        <w:rPr>
          <w:szCs w:val="24"/>
        </w:rPr>
        <w:t xml:space="preserve">in order to give it further assistance on </w:t>
      </w:r>
      <w:r w:rsidR="008C12C6">
        <w:rPr>
          <w:szCs w:val="24"/>
        </w:rPr>
        <w:t>the PSED question only</w:t>
      </w:r>
      <w:r w:rsidR="00CF19B3">
        <w:rPr>
          <w:szCs w:val="24"/>
        </w:rPr>
        <w:t xml:space="preserve">.  </w:t>
      </w:r>
      <w:r w:rsidR="00FC1BE5">
        <w:rPr>
          <w:szCs w:val="24"/>
        </w:rPr>
        <w:t xml:space="preserve"> </w:t>
      </w:r>
    </w:p>
    <w:p w14:paraId="66EE2BF9" w14:textId="77777777" w:rsidR="004E3740" w:rsidRDefault="00EE2867" w:rsidP="00972118">
      <w:pPr>
        <w:pStyle w:val="ParaLevel1"/>
        <w:rPr>
          <w:szCs w:val="24"/>
        </w:rPr>
      </w:pPr>
      <w:r w:rsidRPr="00D246B7">
        <w:rPr>
          <w:szCs w:val="24"/>
        </w:rPr>
        <w:t xml:space="preserve">The GDC met to reconsider its decision on </w:t>
      </w:r>
      <w:r w:rsidR="000358EE" w:rsidRPr="00D246B7">
        <w:rPr>
          <w:szCs w:val="24"/>
        </w:rPr>
        <w:t xml:space="preserve">11 July 2022.  </w:t>
      </w:r>
      <w:r w:rsidR="00D246B7" w:rsidRPr="00D246B7">
        <w:rPr>
          <w:szCs w:val="24"/>
        </w:rPr>
        <w:t xml:space="preserve">It </w:t>
      </w:r>
      <w:r w:rsidR="00A63B01" w:rsidRPr="00D246B7">
        <w:rPr>
          <w:szCs w:val="24"/>
        </w:rPr>
        <w:t xml:space="preserve">had </w:t>
      </w:r>
      <w:r w:rsidR="00DA3136" w:rsidRPr="00D246B7">
        <w:rPr>
          <w:szCs w:val="24"/>
        </w:rPr>
        <w:t xml:space="preserve">available to it </w:t>
      </w:r>
      <w:r w:rsidR="00D246B7">
        <w:rPr>
          <w:szCs w:val="24"/>
        </w:rPr>
        <w:t>the</w:t>
      </w:r>
      <w:r w:rsidR="0070770D" w:rsidRPr="00D246B7">
        <w:rPr>
          <w:szCs w:val="24"/>
        </w:rPr>
        <w:t xml:space="preserve"> material</w:t>
      </w:r>
      <w:r w:rsidR="00D246B7">
        <w:rPr>
          <w:szCs w:val="24"/>
        </w:rPr>
        <w:t>s</w:t>
      </w:r>
      <w:r w:rsidR="0070770D" w:rsidRPr="00D246B7">
        <w:rPr>
          <w:szCs w:val="24"/>
        </w:rPr>
        <w:t xml:space="preserve"> from </w:t>
      </w:r>
      <w:r w:rsidR="00DA3136" w:rsidRPr="00D246B7">
        <w:rPr>
          <w:szCs w:val="24"/>
        </w:rPr>
        <w:t xml:space="preserve">the original </w:t>
      </w:r>
      <w:r w:rsidR="00A937E5" w:rsidRPr="00D246B7">
        <w:rPr>
          <w:szCs w:val="24"/>
        </w:rPr>
        <w:t>meeting</w:t>
      </w:r>
      <w:r w:rsidR="00DA3136" w:rsidRPr="00D246B7">
        <w:rPr>
          <w:szCs w:val="24"/>
        </w:rPr>
        <w:t xml:space="preserve">, together with </w:t>
      </w:r>
      <w:r w:rsidR="00891FB7" w:rsidRPr="00D246B7">
        <w:rPr>
          <w:szCs w:val="24"/>
        </w:rPr>
        <w:t>the IRP</w:t>
      </w:r>
      <w:r w:rsidR="006E5B17" w:rsidRPr="00D246B7">
        <w:rPr>
          <w:szCs w:val="24"/>
        </w:rPr>
        <w:t>’s decision</w:t>
      </w:r>
      <w:r w:rsidR="0056787D" w:rsidRPr="00D246B7">
        <w:rPr>
          <w:szCs w:val="24"/>
        </w:rPr>
        <w:t xml:space="preserve"> and the four annexes</w:t>
      </w:r>
      <w:r w:rsidR="007C6507" w:rsidRPr="00D246B7">
        <w:rPr>
          <w:szCs w:val="24"/>
        </w:rPr>
        <w:t xml:space="preserve">.  </w:t>
      </w:r>
    </w:p>
    <w:p w14:paraId="70CAA9BA" w14:textId="270C9260" w:rsidR="00AC0922" w:rsidRPr="00D246B7" w:rsidRDefault="00FA5115" w:rsidP="00972118">
      <w:pPr>
        <w:pStyle w:val="ParaLevel1"/>
        <w:rPr>
          <w:szCs w:val="24"/>
        </w:rPr>
      </w:pPr>
      <w:r w:rsidRPr="00D246B7">
        <w:rPr>
          <w:szCs w:val="24"/>
        </w:rPr>
        <w:t xml:space="preserve">The </w:t>
      </w:r>
      <w:r w:rsidR="00AC0922" w:rsidRPr="00D246B7">
        <w:rPr>
          <w:szCs w:val="24"/>
        </w:rPr>
        <w:t xml:space="preserve">Claimant’s </w:t>
      </w:r>
      <w:r w:rsidR="004E3740">
        <w:rPr>
          <w:szCs w:val="24"/>
        </w:rPr>
        <w:t xml:space="preserve">written </w:t>
      </w:r>
      <w:r w:rsidR="00AC0922" w:rsidRPr="00D246B7">
        <w:rPr>
          <w:szCs w:val="24"/>
        </w:rPr>
        <w:t xml:space="preserve">submissions, drafted by </w:t>
      </w:r>
      <w:r w:rsidR="00401867" w:rsidRPr="00D246B7">
        <w:rPr>
          <w:szCs w:val="24"/>
        </w:rPr>
        <w:t>JFKL</w:t>
      </w:r>
      <w:r w:rsidR="00AC0922" w:rsidRPr="00D246B7">
        <w:rPr>
          <w:szCs w:val="24"/>
        </w:rPr>
        <w:t xml:space="preserve">, </w:t>
      </w:r>
      <w:r w:rsidR="0039646B">
        <w:rPr>
          <w:szCs w:val="24"/>
        </w:rPr>
        <w:t>were confined to the PSED issue</w:t>
      </w:r>
      <w:r w:rsidR="003F3DBB">
        <w:rPr>
          <w:szCs w:val="24"/>
        </w:rPr>
        <w:t xml:space="preserve">.  They </w:t>
      </w:r>
      <w:r w:rsidR="00AC0922" w:rsidRPr="00D246B7">
        <w:rPr>
          <w:szCs w:val="24"/>
        </w:rPr>
        <w:t>begin:</w:t>
      </w:r>
    </w:p>
    <w:p w14:paraId="58916E80" w14:textId="3AAEB3D8" w:rsidR="00A937E5" w:rsidRDefault="00C552FE" w:rsidP="00972118">
      <w:pPr>
        <w:pStyle w:val="ParaLevel1"/>
        <w:numPr>
          <w:ilvl w:val="0"/>
          <w:numId w:val="0"/>
        </w:numPr>
        <w:ind w:left="1418" w:right="935"/>
        <w:rPr>
          <w:szCs w:val="24"/>
        </w:rPr>
      </w:pPr>
      <w:r>
        <w:rPr>
          <w:szCs w:val="24"/>
        </w:rPr>
        <w:t>“</w:t>
      </w:r>
      <w:r>
        <w:t xml:space="preserve">These brief submissions solely focus on the </w:t>
      </w:r>
      <w:r w:rsidR="00966F20">
        <w:t>[GSD’s]</w:t>
      </w:r>
      <w:r>
        <w:t xml:space="preserve"> failure to comply with the Public Sector Equality Duty </w:t>
      </w:r>
      <w:r w:rsidR="00966F20">
        <w:t>…</w:t>
      </w:r>
      <w:r>
        <w:t xml:space="preserve"> under section 149 Equality Act 2010. </w:t>
      </w:r>
      <w:r w:rsidR="00966F20">
        <w:t xml:space="preserve"> </w:t>
      </w:r>
      <w:r>
        <w:t xml:space="preserve">As to the remainder of the issues to be determined at the reconsideration hearing, </w:t>
      </w:r>
      <w:r w:rsidR="00966F20">
        <w:t>[the Claimant]</w:t>
      </w:r>
      <w:r>
        <w:t xml:space="preserve"> adopts the submissions presented both orally and in writing to the Independent Review Panel </w:t>
      </w:r>
      <w:r w:rsidR="00966F20">
        <w:t>…</w:t>
      </w:r>
      <w:r>
        <w:t xml:space="preserve"> and the IRP’s other recommendations for reconsideration.</w:t>
      </w:r>
      <w:r w:rsidR="00966F20">
        <w:t>”</w:t>
      </w:r>
    </w:p>
    <w:p w14:paraId="57BB9205" w14:textId="5B60B6BB" w:rsidR="001A572A" w:rsidRDefault="002E6A98" w:rsidP="00972118">
      <w:pPr>
        <w:pStyle w:val="ParaLevel1"/>
        <w:numPr>
          <w:ilvl w:val="0"/>
          <w:numId w:val="0"/>
        </w:numPr>
        <w:ind w:left="720"/>
        <w:rPr>
          <w:szCs w:val="24"/>
        </w:rPr>
      </w:pPr>
      <w:r>
        <w:rPr>
          <w:szCs w:val="24"/>
        </w:rPr>
        <w:t>Th</w:t>
      </w:r>
      <w:r w:rsidR="00CD7394">
        <w:rPr>
          <w:szCs w:val="24"/>
        </w:rPr>
        <w:t xml:space="preserve">e </w:t>
      </w:r>
      <w:r w:rsidR="00A52820">
        <w:rPr>
          <w:szCs w:val="24"/>
        </w:rPr>
        <w:t xml:space="preserve">essential submission was that the GDC should not have accepted that the </w:t>
      </w:r>
      <w:r w:rsidR="00642FC0">
        <w:rPr>
          <w:szCs w:val="24"/>
        </w:rPr>
        <w:t>Headteacher</w:t>
      </w:r>
      <w:r w:rsidR="00A52820">
        <w:rPr>
          <w:szCs w:val="24"/>
        </w:rPr>
        <w:t xml:space="preserve"> had had regard to the PSED</w:t>
      </w:r>
      <w:r w:rsidR="001B34E4">
        <w:rPr>
          <w:szCs w:val="24"/>
        </w:rPr>
        <w:t>.  A</w:t>
      </w:r>
      <w:r w:rsidR="001A572A">
        <w:rPr>
          <w:szCs w:val="24"/>
        </w:rPr>
        <w:t>t para. 27 the submissions say:</w:t>
      </w:r>
    </w:p>
    <w:p w14:paraId="42968AC4" w14:textId="256D98E0" w:rsidR="001A572A" w:rsidRDefault="003C3487" w:rsidP="00972118">
      <w:pPr>
        <w:pStyle w:val="ParaLevel1"/>
        <w:numPr>
          <w:ilvl w:val="0"/>
          <w:numId w:val="0"/>
        </w:numPr>
        <w:ind w:left="1418" w:right="793"/>
        <w:rPr>
          <w:szCs w:val="24"/>
        </w:rPr>
      </w:pPr>
      <w:r>
        <w:t>“[The Claimant’s] position on the PSED is simple: the headteacher does not have any records (comparable in substance if not in form to an Equality Impact Assessment) detailing compliance with the PSED at the material time. Despite repeated questions on this point at the IRP hearing the headteacher disclosed nothing that came close to discharging her duty. The burden was on the headteacher to demonstrate compliance and she failed to do so</w:t>
      </w:r>
      <w:r w:rsidR="00482A7A">
        <w:t>.”</w:t>
      </w:r>
    </w:p>
    <w:p w14:paraId="7D78843B" w14:textId="4180286E" w:rsidR="002E6A98" w:rsidRDefault="00442721" w:rsidP="00972118">
      <w:pPr>
        <w:pStyle w:val="ParaLevel1"/>
        <w:numPr>
          <w:ilvl w:val="0"/>
          <w:numId w:val="0"/>
        </w:numPr>
        <w:ind w:left="720"/>
        <w:rPr>
          <w:szCs w:val="24"/>
        </w:rPr>
      </w:pPr>
      <w:r>
        <w:rPr>
          <w:szCs w:val="24"/>
        </w:rPr>
        <w:t xml:space="preserve">It is possibly ambiguous </w:t>
      </w:r>
      <w:r w:rsidR="00CA228C">
        <w:rPr>
          <w:szCs w:val="24"/>
        </w:rPr>
        <w:t xml:space="preserve">whether the submission was that the absence of </w:t>
      </w:r>
      <w:r>
        <w:rPr>
          <w:szCs w:val="24"/>
        </w:rPr>
        <w:t>contemporary</w:t>
      </w:r>
      <w:r w:rsidR="00CA228C">
        <w:rPr>
          <w:szCs w:val="24"/>
        </w:rPr>
        <w:t xml:space="preserve"> documentation was fatal or only that, in its absence, </w:t>
      </w:r>
      <w:r w:rsidR="00174D55">
        <w:rPr>
          <w:szCs w:val="24"/>
        </w:rPr>
        <w:t xml:space="preserve">there was no other evidence capable of discharging the burden of proof; but it is unnecessary for our purposes to resolve </w:t>
      </w:r>
      <w:r w:rsidR="00CE3397">
        <w:rPr>
          <w:szCs w:val="24"/>
        </w:rPr>
        <w:t>that</w:t>
      </w:r>
      <w:r w:rsidR="00174D55">
        <w:rPr>
          <w:szCs w:val="24"/>
        </w:rPr>
        <w:t xml:space="preserve"> ambiguity.  </w:t>
      </w:r>
    </w:p>
    <w:p w14:paraId="7919883C" w14:textId="205988FD" w:rsidR="00E43164" w:rsidRDefault="003942FB" w:rsidP="00972118">
      <w:pPr>
        <w:pStyle w:val="ParaLevel1"/>
        <w:rPr>
          <w:szCs w:val="24"/>
        </w:rPr>
      </w:pPr>
      <w:r>
        <w:rPr>
          <w:szCs w:val="24"/>
        </w:rPr>
        <w:t xml:space="preserve">The </w:t>
      </w:r>
      <w:r w:rsidR="0015653B">
        <w:rPr>
          <w:szCs w:val="24"/>
        </w:rPr>
        <w:t>School’s submissions, drafted by Mr Wilkins, address</w:t>
      </w:r>
      <w:r w:rsidR="00030D46">
        <w:rPr>
          <w:szCs w:val="24"/>
        </w:rPr>
        <w:t>ed</w:t>
      </w:r>
      <w:r w:rsidR="0015653B">
        <w:rPr>
          <w:szCs w:val="24"/>
        </w:rPr>
        <w:t xml:space="preserve"> both the PSED issue and the issues raised by the IRP</w:t>
      </w:r>
      <w:r w:rsidR="00EA219A">
        <w:rPr>
          <w:szCs w:val="24"/>
        </w:rPr>
        <w:t>.  I need not summarise them.</w:t>
      </w:r>
    </w:p>
    <w:p w14:paraId="02FA25BD" w14:textId="08AF5380" w:rsidR="000A1368" w:rsidRPr="00EA219A" w:rsidRDefault="00EA219A" w:rsidP="00972118">
      <w:pPr>
        <w:pStyle w:val="ParaLevel1"/>
        <w:rPr>
          <w:szCs w:val="24"/>
        </w:rPr>
      </w:pPr>
      <w:r w:rsidRPr="00EA219A">
        <w:rPr>
          <w:szCs w:val="24"/>
        </w:rPr>
        <w:t xml:space="preserve">The </w:t>
      </w:r>
      <w:r w:rsidR="003942FB" w:rsidRPr="00EA219A">
        <w:rPr>
          <w:szCs w:val="24"/>
        </w:rPr>
        <w:t>minutes start by</w:t>
      </w:r>
      <w:r w:rsidR="0090349C" w:rsidRPr="00EA219A">
        <w:rPr>
          <w:szCs w:val="24"/>
        </w:rPr>
        <w:t xml:space="preserve"> recording that the GDC met for just under an hour in private t</w:t>
      </w:r>
      <w:r w:rsidR="001B2DAA" w:rsidRPr="00EA219A">
        <w:rPr>
          <w:szCs w:val="24"/>
        </w:rPr>
        <w:t>o</w:t>
      </w:r>
      <w:r w:rsidR="0090349C" w:rsidRPr="00EA219A">
        <w:rPr>
          <w:szCs w:val="24"/>
        </w:rPr>
        <w:t xml:space="preserve"> discuss </w:t>
      </w:r>
      <w:r w:rsidR="001B2DAA" w:rsidRPr="00EA219A">
        <w:rPr>
          <w:szCs w:val="24"/>
        </w:rPr>
        <w:t>the reasons why the IRP had recommended reconsideration.</w:t>
      </w:r>
      <w:r w:rsidR="006E43A6" w:rsidRPr="00EA219A">
        <w:rPr>
          <w:szCs w:val="24"/>
        </w:rPr>
        <w:t xml:space="preserve">  T</w:t>
      </w:r>
      <w:r w:rsidR="00701B42" w:rsidRPr="00EA219A">
        <w:rPr>
          <w:szCs w:val="24"/>
        </w:rPr>
        <w:t>he</w:t>
      </w:r>
      <w:r w:rsidR="006E43A6" w:rsidRPr="00EA219A">
        <w:rPr>
          <w:szCs w:val="24"/>
        </w:rPr>
        <w:t xml:space="preserve"> GDC noted</w:t>
      </w:r>
      <w:r w:rsidR="00D31853" w:rsidRPr="00EA219A">
        <w:rPr>
          <w:szCs w:val="24"/>
        </w:rPr>
        <w:t xml:space="preserve"> that</w:t>
      </w:r>
      <w:r w:rsidR="000C090E">
        <w:rPr>
          <w:szCs w:val="24"/>
        </w:rPr>
        <w:t>,</w:t>
      </w:r>
      <w:r w:rsidR="00D31853" w:rsidRPr="00EA219A">
        <w:rPr>
          <w:szCs w:val="24"/>
        </w:rPr>
        <w:t xml:space="preserve"> although “the family were concentrating on the requirements of the PSED</w:t>
      </w:r>
      <w:r w:rsidR="00020C2E" w:rsidRPr="00EA219A">
        <w:rPr>
          <w:szCs w:val="24"/>
        </w:rPr>
        <w:t>”</w:t>
      </w:r>
      <w:r w:rsidR="00D31853" w:rsidRPr="00EA219A">
        <w:rPr>
          <w:szCs w:val="24"/>
        </w:rPr>
        <w:t>,</w:t>
      </w:r>
      <w:r w:rsidR="001B2DAA" w:rsidRPr="00EA219A">
        <w:rPr>
          <w:szCs w:val="24"/>
        </w:rPr>
        <w:t xml:space="preserve"> </w:t>
      </w:r>
      <w:r w:rsidR="00D31853" w:rsidRPr="00EA219A">
        <w:rPr>
          <w:szCs w:val="24"/>
        </w:rPr>
        <w:t xml:space="preserve">this was not one of the matters on which the IRC had recommended reconsideration.  </w:t>
      </w:r>
      <w:r w:rsidR="00701B42" w:rsidRPr="00EA219A">
        <w:rPr>
          <w:szCs w:val="24"/>
        </w:rPr>
        <w:t>Nevertheless, the minutes include the following paragraph</w:t>
      </w:r>
      <w:r w:rsidR="00877CAD" w:rsidRPr="00EA219A">
        <w:rPr>
          <w:szCs w:val="24"/>
        </w:rPr>
        <w:t xml:space="preserve"> which appears to </w:t>
      </w:r>
      <w:r w:rsidR="00F62B6F" w:rsidRPr="00EA219A">
        <w:rPr>
          <w:szCs w:val="24"/>
        </w:rPr>
        <w:t>relate to</w:t>
      </w:r>
      <w:r w:rsidR="00877CAD" w:rsidRPr="00EA219A">
        <w:rPr>
          <w:szCs w:val="24"/>
        </w:rPr>
        <w:t xml:space="preserve"> the </w:t>
      </w:r>
      <w:r w:rsidR="002A33EC" w:rsidRPr="00EA219A">
        <w:rPr>
          <w:szCs w:val="24"/>
        </w:rPr>
        <w:t xml:space="preserve">substantive </w:t>
      </w:r>
      <w:r w:rsidR="00877CAD" w:rsidRPr="00EA219A">
        <w:rPr>
          <w:szCs w:val="24"/>
        </w:rPr>
        <w:t xml:space="preserve">issues </w:t>
      </w:r>
      <w:r w:rsidR="00F62B6F" w:rsidRPr="00EA219A">
        <w:rPr>
          <w:szCs w:val="24"/>
        </w:rPr>
        <w:t xml:space="preserve">which </w:t>
      </w:r>
      <w:r w:rsidR="00877CAD" w:rsidRPr="00EA219A">
        <w:rPr>
          <w:szCs w:val="24"/>
        </w:rPr>
        <w:t>the Claimant</w:t>
      </w:r>
      <w:r w:rsidR="000A1368" w:rsidRPr="00EA219A">
        <w:rPr>
          <w:szCs w:val="24"/>
        </w:rPr>
        <w:t xml:space="preserve"> </w:t>
      </w:r>
      <w:r w:rsidR="00F62B6F" w:rsidRPr="00EA219A">
        <w:rPr>
          <w:szCs w:val="24"/>
        </w:rPr>
        <w:t xml:space="preserve">says </w:t>
      </w:r>
      <w:r w:rsidR="00F61205" w:rsidRPr="00EA219A">
        <w:rPr>
          <w:szCs w:val="24"/>
        </w:rPr>
        <w:t xml:space="preserve">would have required consideration under </w:t>
      </w:r>
      <w:r w:rsidR="00F62B6F" w:rsidRPr="00EA219A">
        <w:rPr>
          <w:szCs w:val="24"/>
        </w:rPr>
        <w:t xml:space="preserve">the </w:t>
      </w:r>
      <w:r w:rsidR="00F61205" w:rsidRPr="00EA219A">
        <w:rPr>
          <w:szCs w:val="24"/>
        </w:rPr>
        <w:t>PSED</w:t>
      </w:r>
      <w:r w:rsidR="000A1368" w:rsidRPr="00EA219A">
        <w:rPr>
          <w:szCs w:val="24"/>
        </w:rPr>
        <w:t>:</w:t>
      </w:r>
    </w:p>
    <w:p w14:paraId="303618A3" w14:textId="4188D8B6" w:rsidR="000A1368" w:rsidRDefault="000A1368" w:rsidP="003D699D">
      <w:pPr>
        <w:pStyle w:val="ParaLevel1"/>
        <w:numPr>
          <w:ilvl w:val="0"/>
          <w:numId w:val="0"/>
        </w:numPr>
        <w:ind w:left="1418" w:right="794"/>
        <w:rPr>
          <w:szCs w:val="24"/>
        </w:rPr>
      </w:pPr>
      <w:r>
        <w:t>“It was also agreed that they had taken notice of the Local Authority’s guidance on the student’s characteristics. It was also agreed that the Board of Trustees received regular updates on the School’s exclusion statistics and challenged them if any particular group was overrepresented in the exclusion data. [The Chair] further confirmed that in her capacity as Link Governor for Inclusion she had previously asked the School what support they and the LA provided for particular groups who were overrepresented in terms of exclusion statistics.”</w:t>
      </w:r>
    </w:p>
    <w:p w14:paraId="67FC3016" w14:textId="2A3293C2" w:rsidR="00F63902" w:rsidRPr="00F63902" w:rsidRDefault="00F37A42" w:rsidP="00972118">
      <w:pPr>
        <w:pStyle w:val="ParaLevel1"/>
        <w:rPr>
          <w:szCs w:val="24"/>
        </w:rPr>
      </w:pPr>
      <w:r>
        <w:rPr>
          <w:szCs w:val="24"/>
        </w:rPr>
        <w:t>Following th</w:t>
      </w:r>
      <w:r w:rsidR="00C40E4D">
        <w:rPr>
          <w:szCs w:val="24"/>
        </w:rPr>
        <w:t xml:space="preserve">e private session the GDC heard submissions from </w:t>
      </w:r>
      <w:r w:rsidR="00AB22F7">
        <w:rPr>
          <w:szCs w:val="24"/>
        </w:rPr>
        <w:t>Mr Persey</w:t>
      </w:r>
      <w:r w:rsidR="00C40E4D">
        <w:rPr>
          <w:szCs w:val="24"/>
        </w:rPr>
        <w:t xml:space="preserve"> and </w:t>
      </w:r>
      <w:r w:rsidR="007F6E32">
        <w:rPr>
          <w:szCs w:val="24"/>
        </w:rPr>
        <w:t>Mr Wilkins</w:t>
      </w:r>
      <w:r w:rsidR="00AB22F7">
        <w:rPr>
          <w:szCs w:val="24"/>
        </w:rPr>
        <w:t>.</w:t>
      </w:r>
      <w:r w:rsidR="005276C7">
        <w:rPr>
          <w:szCs w:val="24"/>
        </w:rPr>
        <w:t xml:space="preserve">  </w:t>
      </w:r>
      <w:r w:rsidR="00AA1C3E">
        <w:rPr>
          <w:szCs w:val="24"/>
        </w:rPr>
        <w:t xml:space="preserve">Mr </w:t>
      </w:r>
      <w:r w:rsidR="00F33ED7">
        <w:rPr>
          <w:szCs w:val="24"/>
        </w:rPr>
        <w:t xml:space="preserve">Persey developed the submission made by </w:t>
      </w:r>
      <w:r w:rsidR="00401867">
        <w:rPr>
          <w:szCs w:val="24"/>
        </w:rPr>
        <w:t>JFKL</w:t>
      </w:r>
      <w:r w:rsidR="00F33ED7">
        <w:rPr>
          <w:szCs w:val="24"/>
        </w:rPr>
        <w:t>.</w:t>
      </w:r>
      <w:r w:rsidR="00A8111D">
        <w:rPr>
          <w:szCs w:val="24"/>
        </w:rPr>
        <w:t xml:space="preserve">  </w:t>
      </w:r>
      <w:r w:rsidR="00AD6EFC">
        <w:rPr>
          <w:szCs w:val="24"/>
        </w:rPr>
        <w:t>The</w:t>
      </w:r>
      <w:r w:rsidR="00973209">
        <w:rPr>
          <w:szCs w:val="24"/>
        </w:rPr>
        <w:t xml:space="preserve"> Chair</w:t>
      </w:r>
      <w:r w:rsidR="00AD6EFC">
        <w:rPr>
          <w:szCs w:val="24"/>
        </w:rPr>
        <w:t xml:space="preserve"> </w:t>
      </w:r>
      <w:r w:rsidR="004D63F8">
        <w:rPr>
          <w:szCs w:val="24"/>
        </w:rPr>
        <w:t xml:space="preserve">pointed out to him the extensive materials that the GDP had in fact </w:t>
      </w:r>
      <w:r w:rsidR="00801BEA">
        <w:rPr>
          <w:szCs w:val="24"/>
        </w:rPr>
        <w:t xml:space="preserve">considered and that </w:t>
      </w:r>
      <w:r w:rsidR="004855A7">
        <w:rPr>
          <w:szCs w:val="24"/>
        </w:rPr>
        <w:t xml:space="preserve">they </w:t>
      </w:r>
      <w:r w:rsidR="00801BEA">
        <w:rPr>
          <w:szCs w:val="24"/>
        </w:rPr>
        <w:t>had been specifically remi</w:t>
      </w:r>
      <w:r w:rsidR="00BA115E">
        <w:rPr>
          <w:szCs w:val="24"/>
        </w:rPr>
        <w:t>nded “of their responsibility to consider any protected characteristics”.</w:t>
      </w:r>
      <w:r w:rsidR="005A5DC3">
        <w:rPr>
          <w:szCs w:val="24"/>
        </w:rPr>
        <w:t xml:space="preserve">  She asked what further consideration having regard to the PSED requirements would have entailed.  H</w:t>
      </w:r>
      <w:r w:rsidR="008D7540">
        <w:rPr>
          <w:szCs w:val="24"/>
        </w:rPr>
        <w:t xml:space="preserve">is response was that the question was not what the </w:t>
      </w:r>
      <w:r w:rsidR="00EB2D2C">
        <w:rPr>
          <w:szCs w:val="24"/>
        </w:rPr>
        <w:t xml:space="preserve">GDC had considered but </w:t>
      </w:r>
      <w:r w:rsidR="008D7540">
        <w:rPr>
          <w:szCs w:val="24"/>
        </w:rPr>
        <w:t xml:space="preserve">what the Headteacher </w:t>
      </w:r>
      <w:r w:rsidR="00EB2D2C">
        <w:rPr>
          <w:szCs w:val="24"/>
        </w:rPr>
        <w:t>had considered, a</w:t>
      </w:r>
      <w:r w:rsidR="00E41BFF">
        <w:rPr>
          <w:szCs w:val="24"/>
        </w:rPr>
        <w:t>bout which there was no evidence at all</w:t>
      </w:r>
      <w:r w:rsidR="00A232C5">
        <w:rPr>
          <w:szCs w:val="24"/>
        </w:rPr>
        <w:t>.  Mr Wilkins submitted</w:t>
      </w:r>
      <w:r w:rsidR="00F63902">
        <w:t xml:space="preserve"> that: </w:t>
      </w:r>
    </w:p>
    <w:p w14:paraId="42851145" w14:textId="151CDBFB" w:rsidR="008A3511" w:rsidRDefault="00B3248B" w:rsidP="00972118">
      <w:pPr>
        <w:pStyle w:val="ParaLevel1"/>
        <w:numPr>
          <w:ilvl w:val="0"/>
          <w:numId w:val="0"/>
        </w:numPr>
        <w:ind w:left="1418" w:right="793"/>
      </w:pPr>
      <w:r>
        <w:t>“</w:t>
      </w:r>
      <w:r w:rsidR="005276C7">
        <w:t xml:space="preserve">The guidance was clear that the GDC should have regard to the evidence presented by the Head. There had been consideration of </w:t>
      </w:r>
      <w:r>
        <w:t>[TZB</w:t>
      </w:r>
      <w:r w:rsidR="005276C7">
        <w:t>’s</w:t>
      </w:r>
      <w:r>
        <w:t>]</w:t>
      </w:r>
      <w:r w:rsidR="005276C7">
        <w:t xml:space="preserve"> special needs at every stage of the process, the Head’s position was clear that </w:t>
      </w:r>
      <w:r>
        <w:t>[TZB</w:t>
      </w:r>
      <w:r w:rsidR="005276C7">
        <w:t>’s</w:t>
      </w:r>
      <w:r>
        <w:t>]</w:t>
      </w:r>
      <w:r w:rsidR="005276C7">
        <w:t xml:space="preserve"> race and special needs had been known to her but were not sufficient to cause her not to decide not to exclude him. She had considered all these factors in reaching her decision to exclude him.</w:t>
      </w:r>
      <w:r w:rsidR="00212D4D">
        <w:t>”</w:t>
      </w:r>
    </w:p>
    <w:p w14:paraId="0EFC99E2" w14:textId="77777777" w:rsidR="00465F3C" w:rsidRDefault="008A3511" w:rsidP="00972118">
      <w:pPr>
        <w:pStyle w:val="ParaLevel1"/>
        <w:numPr>
          <w:ilvl w:val="0"/>
          <w:numId w:val="0"/>
        </w:numPr>
        <w:ind w:left="720"/>
      </w:pPr>
      <w:r>
        <w:t xml:space="preserve">The minutes also record that the Chair </w:t>
      </w:r>
      <w:r w:rsidR="00212D4D">
        <w:t xml:space="preserve">commented </w:t>
      </w:r>
      <w:r w:rsidR="005276C7">
        <w:t xml:space="preserve">that </w:t>
      </w:r>
    </w:p>
    <w:p w14:paraId="234F1ECF" w14:textId="41A25798" w:rsidR="00044128" w:rsidRDefault="00465F3C" w:rsidP="00972118">
      <w:pPr>
        <w:pStyle w:val="ParaLevel1"/>
        <w:numPr>
          <w:ilvl w:val="0"/>
          <w:numId w:val="0"/>
        </w:numPr>
        <w:ind w:left="1418" w:right="793"/>
        <w:rPr>
          <w:szCs w:val="24"/>
        </w:rPr>
      </w:pPr>
      <w:r>
        <w:t xml:space="preserve">“… </w:t>
      </w:r>
      <w:r w:rsidR="005276C7">
        <w:t xml:space="preserve">the minutes </w:t>
      </w:r>
      <w:r>
        <w:t>of [the first meeting]</w:t>
      </w:r>
      <w:r w:rsidR="005276C7">
        <w:t xml:space="preserve"> specifically stated that </w:t>
      </w:r>
      <w:r w:rsidR="00212D4D">
        <w:t>[the Headteacher]</w:t>
      </w:r>
      <w:r w:rsidR="005276C7">
        <w:t xml:space="preserve"> had considered the requirements of the Equality Act and that </w:t>
      </w:r>
      <w:r w:rsidR="00212D4D">
        <w:t xml:space="preserve">[the Headteacher] </w:t>
      </w:r>
      <w:r w:rsidR="005276C7">
        <w:t xml:space="preserve">was confident that </w:t>
      </w:r>
      <w:r w:rsidR="00212D4D">
        <w:t>[TZB]</w:t>
      </w:r>
      <w:r w:rsidR="005276C7">
        <w:t xml:space="preserve"> had not been treated any less favourably than any other student. She had stated that she had considered these things at the time of the exclusion.</w:t>
      </w:r>
      <w:r w:rsidR="00212D4D">
        <w:t>”</w:t>
      </w:r>
    </w:p>
    <w:p w14:paraId="1FCC4125" w14:textId="5D41C5D7" w:rsidR="0069781D" w:rsidRPr="0069781D" w:rsidRDefault="0069781D" w:rsidP="00972118">
      <w:pPr>
        <w:pStyle w:val="ParaLevel1"/>
        <w:rPr>
          <w:szCs w:val="24"/>
        </w:rPr>
      </w:pPr>
      <w:r>
        <w:t xml:space="preserve">The minutes conclude with the GDC’s decision </w:t>
      </w:r>
      <w:r w:rsidR="00D304FD">
        <w:t>as follows</w:t>
      </w:r>
      <w:r>
        <w:t>:</w:t>
      </w:r>
    </w:p>
    <w:p w14:paraId="68FB4BA0" w14:textId="55E3BBBE" w:rsidR="00B71DFD" w:rsidRDefault="00C93A9A" w:rsidP="00972118">
      <w:pPr>
        <w:pStyle w:val="ParaLevel1"/>
        <w:numPr>
          <w:ilvl w:val="0"/>
          <w:numId w:val="0"/>
        </w:numPr>
        <w:ind w:left="1418" w:right="793"/>
      </w:pPr>
      <w:r>
        <w:t>“</w:t>
      </w:r>
      <w:r w:rsidR="00B71DFD">
        <w:t>After discussion the Panel unanimously reconfirmed their original decision to decline to reinstate [TZB].</w:t>
      </w:r>
    </w:p>
    <w:p w14:paraId="68B9B408" w14:textId="0D0504D4" w:rsidR="0069781D" w:rsidRPr="0069781D" w:rsidRDefault="00C93A9A" w:rsidP="00972118">
      <w:pPr>
        <w:pStyle w:val="ParaLevel1"/>
        <w:numPr>
          <w:ilvl w:val="0"/>
          <w:numId w:val="0"/>
        </w:numPr>
        <w:ind w:left="1418" w:right="793"/>
        <w:rPr>
          <w:szCs w:val="24"/>
        </w:rPr>
      </w:pPr>
      <w:r>
        <w:t xml:space="preserve">The Panel noted the submissions from the School and the family and in particular the reference to the PSED requirement. </w:t>
      </w:r>
      <w:r w:rsidRPr="008876CA">
        <w:rPr>
          <w:i/>
          <w:iCs/>
        </w:rPr>
        <w:t>The Panel were satisfied that there was written evidence that the requirements of the Equality Act had been considered by the Head prior to reaching her decision</w:t>
      </w:r>
      <w:r w:rsidR="008876CA">
        <w:t xml:space="preserve"> [emphasis supplied]</w:t>
      </w:r>
      <w:r>
        <w:t xml:space="preserve"> The Panel were also satisfied that </w:t>
      </w:r>
      <w:r w:rsidR="007C7C5F">
        <w:t>[TZB</w:t>
      </w:r>
      <w:r w:rsidR="00DC31E9">
        <w:t>’s</w:t>
      </w:r>
      <w:r w:rsidR="007C7C5F">
        <w:t>]</w:t>
      </w:r>
      <w:r>
        <w:t xml:space="preserve"> SEN needs had been considered and that the School had done everything it could to support </w:t>
      </w:r>
      <w:r w:rsidR="007C7C5F">
        <w:t>[TZB]</w:t>
      </w:r>
      <w:r>
        <w:t xml:space="preserve">. The Panel also considered all the points raised by the IRP and, having thoroughly reviewed all the evidence submitted to them, they agreed to decline to reinstate </w:t>
      </w:r>
      <w:r w:rsidR="007C7C5F">
        <w:t>[TZB]</w:t>
      </w:r>
      <w:r>
        <w:t>.”</w:t>
      </w:r>
    </w:p>
    <w:p w14:paraId="2889B559" w14:textId="161B5291" w:rsidR="0069781D" w:rsidRPr="0069781D" w:rsidRDefault="00DC31E9" w:rsidP="00972118">
      <w:pPr>
        <w:pStyle w:val="ParaLevel1"/>
        <w:numPr>
          <w:ilvl w:val="0"/>
          <w:numId w:val="0"/>
        </w:numPr>
        <w:ind w:left="720"/>
        <w:rPr>
          <w:szCs w:val="24"/>
        </w:rPr>
      </w:pPr>
      <w:r>
        <w:rPr>
          <w:szCs w:val="24"/>
        </w:rPr>
        <w:t xml:space="preserve">(“The Panel” there </w:t>
      </w:r>
      <w:r w:rsidR="00E621BA">
        <w:rPr>
          <w:szCs w:val="24"/>
        </w:rPr>
        <w:t xml:space="preserve">of course </w:t>
      </w:r>
      <w:r>
        <w:rPr>
          <w:szCs w:val="24"/>
        </w:rPr>
        <w:t xml:space="preserve">refers to the </w:t>
      </w:r>
      <w:r w:rsidR="00E621BA">
        <w:rPr>
          <w:szCs w:val="24"/>
        </w:rPr>
        <w:t xml:space="preserve">GDC itself, not to the </w:t>
      </w:r>
      <w:r w:rsidR="00145F16">
        <w:rPr>
          <w:szCs w:val="24"/>
        </w:rPr>
        <w:t>IRP</w:t>
      </w:r>
      <w:r w:rsidR="00E621BA">
        <w:rPr>
          <w:szCs w:val="24"/>
        </w:rPr>
        <w:t>.</w:t>
      </w:r>
      <w:r w:rsidR="00145F16">
        <w:rPr>
          <w:szCs w:val="24"/>
        </w:rPr>
        <w:t>)</w:t>
      </w:r>
    </w:p>
    <w:p w14:paraId="76176A73" w14:textId="4811CB1F" w:rsidR="00D304FD" w:rsidRPr="005E629A" w:rsidRDefault="00D304FD" w:rsidP="00972118">
      <w:pPr>
        <w:pStyle w:val="ParaLevel1"/>
        <w:rPr>
          <w:szCs w:val="24"/>
          <w:u w:val="single"/>
        </w:rPr>
      </w:pPr>
      <w:r>
        <w:rPr>
          <w:szCs w:val="24"/>
        </w:rPr>
        <w:t xml:space="preserve">The </w:t>
      </w:r>
      <w:r w:rsidR="00063C2E">
        <w:rPr>
          <w:szCs w:val="24"/>
        </w:rPr>
        <w:t xml:space="preserve">Chair of the GDC </w:t>
      </w:r>
      <w:r w:rsidR="00EA2B3F">
        <w:rPr>
          <w:szCs w:val="24"/>
        </w:rPr>
        <w:t>emailed J</w:t>
      </w:r>
      <w:r w:rsidR="007B1C64">
        <w:rPr>
          <w:szCs w:val="24"/>
        </w:rPr>
        <w:t>F</w:t>
      </w:r>
      <w:r w:rsidR="00EA2B3F">
        <w:rPr>
          <w:szCs w:val="24"/>
        </w:rPr>
        <w:t xml:space="preserve">KL later the same day to inform the Claimant of its decision.  The email </w:t>
      </w:r>
      <w:r w:rsidR="00254AEA">
        <w:rPr>
          <w:szCs w:val="24"/>
        </w:rPr>
        <w:t xml:space="preserve">says that “a formal letter and detailed minutes” would follow.  We </w:t>
      </w:r>
      <w:r w:rsidR="001D6884">
        <w:rPr>
          <w:szCs w:val="24"/>
        </w:rPr>
        <w:t xml:space="preserve">were told that </w:t>
      </w:r>
      <w:r w:rsidR="005E629A">
        <w:rPr>
          <w:szCs w:val="24"/>
        </w:rPr>
        <w:t>in fact all that was sent was</w:t>
      </w:r>
      <w:r w:rsidR="001D6884">
        <w:rPr>
          <w:szCs w:val="24"/>
        </w:rPr>
        <w:t xml:space="preserve"> the minutes</w:t>
      </w:r>
      <w:r w:rsidR="005E629A">
        <w:rPr>
          <w:szCs w:val="24"/>
        </w:rPr>
        <w:t>, without a “formal letter”</w:t>
      </w:r>
      <w:r w:rsidR="00AD4875">
        <w:rPr>
          <w:szCs w:val="24"/>
        </w:rPr>
        <w:t xml:space="preserve">: these </w:t>
      </w:r>
      <w:r w:rsidR="005E629A">
        <w:rPr>
          <w:szCs w:val="24"/>
        </w:rPr>
        <w:t>must therefore be treated as the statement of the GDC’s reasons as required by regulation 26 (2).</w:t>
      </w:r>
    </w:p>
    <w:p w14:paraId="6C6F7012" w14:textId="77777777" w:rsidR="005E629A" w:rsidRPr="00730A94" w:rsidRDefault="005E629A" w:rsidP="00972118">
      <w:pPr>
        <w:pStyle w:val="ParaLevel1"/>
        <w:numPr>
          <w:ilvl w:val="0"/>
          <w:numId w:val="0"/>
        </w:numPr>
        <w:ind w:left="720" w:hanging="720"/>
        <w:rPr>
          <w:szCs w:val="24"/>
          <w:u w:val="single"/>
        </w:rPr>
      </w:pPr>
      <w:r>
        <w:rPr>
          <w:szCs w:val="24"/>
          <w:u w:val="single"/>
        </w:rPr>
        <w:t>THE DECISION OF THE JUDGE</w:t>
      </w:r>
    </w:p>
    <w:p w14:paraId="0010A95C" w14:textId="182E1DD8" w:rsidR="00730A94" w:rsidRPr="00B559F2" w:rsidRDefault="00966381" w:rsidP="00972118">
      <w:pPr>
        <w:pStyle w:val="ParaLevel1"/>
        <w:rPr>
          <w:szCs w:val="24"/>
        </w:rPr>
      </w:pPr>
      <w:r w:rsidRPr="005C2DE5">
        <w:rPr>
          <w:szCs w:val="24"/>
        </w:rPr>
        <w:t xml:space="preserve">As </w:t>
      </w:r>
      <w:r w:rsidR="004804AA" w:rsidRPr="005C2DE5">
        <w:rPr>
          <w:szCs w:val="24"/>
        </w:rPr>
        <w:t xml:space="preserve">already noted, the </w:t>
      </w:r>
      <w:r w:rsidR="005C2DE5" w:rsidRPr="005C2DE5">
        <w:rPr>
          <w:color w:val="000000"/>
          <w:szCs w:val="24"/>
        </w:rPr>
        <w:t>Claimant</w:t>
      </w:r>
      <w:r w:rsidR="005C2DE5">
        <w:rPr>
          <w:color w:val="000000"/>
          <w:szCs w:val="24"/>
        </w:rPr>
        <w:t>’s case before the Judge</w:t>
      </w:r>
      <w:r w:rsidR="00A331F6">
        <w:rPr>
          <w:color w:val="000000"/>
          <w:szCs w:val="24"/>
        </w:rPr>
        <w:t xml:space="preserve"> was</w:t>
      </w:r>
      <w:r w:rsidR="005C2DE5" w:rsidRPr="005C2DE5">
        <w:rPr>
          <w:color w:val="000000"/>
          <w:szCs w:val="24"/>
        </w:rPr>
        <w:t xml:space="preserve"> that the original exclusion decision was unlawful because the Headteacher had failed to comply with the </w:t>
      </w:r>
      <w:r w:rsidR="00A331F6">
        <w:rPr>
          <w:color w:val="000000"/>
          <w:szCs w:val="24"/>
        </w:rPr>
        <w:t xml:space="preserve">PSED and that the GDC had failed to find that it was unlawful for that reason.  The Judge </w:t>
      </w:r>
      <w:r w:rsidR="00B559F2">
        <w:rPr>
          <w:color w:val="000000"/>
          <w:szCs w:val="24"/>
        </w:rPr>
        <w:t xml:space="preserve">addressed that claim </w:t>
      </w:r>
      <w:r w:rsidR="008621E6">
        <w:rPr>
          <w:color w:val="000000"/>
          <w:szCs w:val="24"/>
        </w:rPr>
        <w:t>under four heads</w:t>
      </w:r>
      <w:r w:rsidR="00B559F2">
        <w:rPr>
          <w:color w:val="000000"/>
          <w:szCs w:val="24"/>
        </w:rPr>
        <w:t>, which I take in turn.</w:t>
      </w:r>
    </w:p>
    <w:p w14:paraId="23E11C14" w14:textId="37201CFD" w:rsidR="00362CA5" w:rsidRPr="00362CA5" w:rsidRDefault="00513D82" w:rsidP="00972118">
      <w:pPr>
        <w:pStyle w:val="ParaLevel1"/>
        <w:rPr>
          <w:szCs w:val="24"/>
        </w:rPr>
      </w:pPr>
      <w:r w:rsidRPr="00FF2AD6">
        <w:rPr>
          <w:color w:val="000000"/>
          <w:szCs w:val="24"/>
          <w:u w:val="single"/>
        </w:rPr>
        <w:t>First</w:t>
      </w:r>
      <w:r>
        <w:rPr>
          <w:color w:val="000000"/>
          <w:szCs w:val="24"/>
        </w:rPr>
        <w:t xml:space="preserve">, </w:t>
      </w:r>
      <w:r w:rsidR="00852D94">
        <w:rPr>
          <w:color w:val="000000"/>
          <w:szCs w:val="24"/>
        </w:rPr>
        <w:t>at paras. 41</w:t>
      </w:r>
      <w:r w:rsidR="008E7959">
        <w:rPr>
          <w:color w:val="000000"/>
          <w:szCs w:val="24"/>
        </w:rPr>
        <w:t xml:space="preserve">-47 of </w:t>
      </w:r>
      <w:r>
        <w:rPr>
          <w:color w:val="000000"/>
          <w:szCs w:val="24"/>
        </w:rPr>
        <w:t>his</w:t>
      </w:r>
      <w:r w:rsidR="008E7959">
        <w:rPr>
          <w:color w:val="000000"/>
          <w:szCs w:val="24"/>
        </w:rPr>
        <w:t xml:space="preserve"> judgment</w:t>
      </w:r>
      <w:r w:rsidR="00774EDD">
        <w:rPr>
          <w:color w:val="000000"/>
          <w:szCs w:val="24"/>
        </w:rPr>
        <w:t xml:space="preserve"> </w:t>
      </w:r>
      <w:r>
        <w:rPr>
          <w:color w:val="000000"/>
          <w:szCs w:val="24"/>
        </w:rPr>
        <w:t xml:space="preserve">he </w:t>
      </w:r>
      <w:r w:rsidR="008621E6">
        <w:rPr>
          <w:color w:val="000000"/>
          <w:szCs w:val="24"/>
        </w:rPr>
        <w:t xml:space="preserve">considered </w:t>
      </w:r>
      <w:r w:rsidR="00485E65">
        <w:rPr>
          <w:color w:val="000000"/>
          <w:szCs w:val="24"/>
        </w:rPr>
        <w:t>Ms Harrison</w:t>
      </w:r>
      <w:r w:rsidR="00040DCB">
        <w:rPr>
          <w:color w:val="000000"/>
          <w:szCs w:val="24"/>
        </w:rPr>
        <w:t>’s</w:t>
      </w:r>
      <w:r w:rsidR="00245110">
        <w:rPr>
          <w:color w:val="000000"/>
          <w:szCs w:val="24"/>
        </w:rPr>
        <w:t xml:space="preserve"> submission, repeating the case advanced </w:t>
      </w:r>
      <w:r w:rsidR="00485E65">
        <w:rPr>
          <w:color w:val="000000"/>
          <w:szCs w:val="24"/>
        </w:rPr>
        <w:t xml:space="preserve">by Mr Persey </w:t>
      </w:r>
      <w:r w:rsidR="00245110">
        <w:rPr>
          <w:color w:val="000000"/>
          <w:szCs w:val="24"/>
        </w:rPr>
        <w:t>in the IR</w:t>
      </w:r>
      <w:r w:rsidR="007B1C64">
        <w:rPr>
          <w:color w:val="000000"/>
          <w:szCs w:val="24"/>
        </w:rPr>
        <w:t>P</w:t>
      </w:r>
      <w:r w:rsidR="00245110">
        <w:rPr>
          <w:color w:val="000000"/>
          <w:szCs w:val="24"/>
        </w:rPr>
        <w:t xml:space="preserve"> and </w:t>
      </w:r>
      <w:r w:rsidR="00485E65">
        <w:rPr>
          <w:color w:val="000000"/>
          <w:szCs w:val="24"/>
        </w:rPr>
        <w:t xml:space="preserve">at the </w:t>
      </w:r>
      <w:r w:rsidR="00040DCB">
        <w:rPr>
          <w:color w:val="000000"/>
          <w:szCs w:val="24"/>
        </w:rPr>
        <w:t>GDC reconsideration meeting, that “</w:t>
      </w:r>
      <w:r w:rsidR="00C765AB" w:rsidRPr="00C765AB">
        <w:rPr>
          <w:color w:val="000000"/>
          <w:szCs w:val="24"/>
        </w:rPr>
        <w:t xml:space="preserve">documentary evidence created prior to, or contemporaneously with, the Exclusion Decision was required to demonstrate that the </w:t>
      </w:r>
      <w:r w:rsidR="00C765AB">
        <w:rPr>
          <w:color w:val="000000"/>
          <w:szCs w:val="24"/>
        </w:rPr>
        <w:t>H</w:t>
      </w:r>
      <w:r w:rsidR="00C765AB" w:rsidRPr="00C765AB">
        <w:rPr>
          <w:color w:val="000000"/>
          <w:szCs w:val="24"/>
        </w:rPr>
        <w:t>eadteacher had given the PS</w:t>
      </w:r>
      <w:r w:rsidR="00C765AB">
        <w:rPr>
          <w:color w:val="000000"/>
          <w:szCs w:val="24"/>
        </w:rPr>
        <w:t>ED</w:t>
      </w:r>
      <w:r w:rsidR="00C765AB" w:rsidRPr="00C765AB">
        <w:rPr>
          <w:color w:val="000000"/>
          <w:szCs w:val="24"/>
        </w:rPr>
        <w:t xml:space="preserve"> due regard in the course of her decision </w:t>
      </w:r>
      <w:r w:rsidR="00C765AB">
        <w:rPr>
          <w:color w:val="000000"/>
          <w:szCs w:val="24"/>
        </w:rPr>
        <w:t>m</w:t>
      </w:r>
      <w:r w:rsidR="00C765AB" w:rsidRPr="00C765AB">
        <w:rPr>
          <w:color w:val="000000"/>
          <w:szCs w:val="24"/>
        </w:rPr>
        <w:t>aking</w:t>
      </w:r>
      <w:r w:rsidR="00C765AB">
        <w:rPr>
          <w:color w:val="000000"/>
          <w:szCs w:val="24"/>
        </w:rPr>
        <w:t>”.</w:t>
      </w:r>
      <w:r w:rsidR="001836EF">
        <w:rPr>
          <w:color w:val="000000"/>
          <w:szCs w:val="24"/>
        </w:rPr>
        <w:t xml:space="preserve">  He held that there was no such requirement as a matter of law.  </w:t>
      </w:r>
      <w:r w:rsidR="00C710B9">
        <w:rPr>
          <w:color w:val="000000"/>
          <w:szCs w:val="24"/>
        </w:rPr>
        <w:t>As he put it at paras. 4</w:t>
      </w:r>
      <w:r w:rsidR="00362CA5">
        <w:rPr>
          <w:color w:val="000000"/>
          <w:szCs w:val="24"/>
        </w:rPr>
        <w:t>5</w:t>
      </w:r>
      <w:r w:rsidR="00C710B9">
        <w:rPr>
          <w:color w:val="000000"/>
          <w:szCs w:val="24"/>
        </w:rPr>
        <w:t>-47</w:t>
      </w:r>
      <w:r w:rsidR="00362CA5">
        <w:rPr>
          <w:color w:val="000000"/>
          <w:szCs w:val="24"/>
        </w:rPr>
        <w:t>:</w:t>
      </w:r>
    </w:p>
    <w:p w14:paraId="7D920F05" w14:textId="1AC72A3F" w:rsidR="00362CA5" w:rsidRPr="00362CA5" w:rsidRDefault="00362CA5" w:rsidP="00972118">
      <w:pPr>
        <w:spacing w:before="100" w:beforeAutospacing="1" w:after="100" w:afterAutospacing="1"/>
        <w:ind w:left="1418" w:right="793"/>
        <w:jc w:val="both"/>
        <w:rPr>
          <w:lang w:eastAsia="en-GB"/>
        </w:rPr>
      </w:pPr>
      <w:bookmarkStart w:id="14" w:name="para45"/>
      <w:r w:rsidRPr="001B26DE">
        <w:rPr>
          <w:lang w:eastAsia="en-GB"/>
        </w:rPr>
        <w:t>“45.  T</w:t>
      </w:r>
      <w:r w:rsidRPr="00362CA5">
        <w:rPr>
          <w:lang w:eastAsia="en-GB"/>
        </w:rPr>
        <w:t xml:space="preserve">he legal requirement is simply that </w:t>
      </w:r>
      <w:r w:rsidRPr="001B26DE">
        <w:rPr>
          <w:lang w:eastAsia="en-GB"/>
        </w:rPr>
        <w:t>‘</w:t>
      </w:r>
      <w:r w:rsidRPr="00362CA5">
        <w:rPr>
          <w:lang w:eastAsia="en-GB"/>
        </w:rPr>
        <w:t>due regard</w:t>
      </w:r>
      <w:r w:rsidRPr="001B26DE">
        <w:rPr>
          <w:lang w:eastAsia="en-GB"/>
        </w:rPr>
        <w:t xml:space="preserve">’ </w:t>
      </w:r>
      <w:r w:rsidRPr="00362CA5">
        <w:rPr>
          <w:lang w:eastAsia="en-GB"/>
        </w:rPr>
        <w:t>is in fact paid to the PSED by the decision maker, and such due regard must (to state the obvious) precede the decision maker</w:t>
      </w:r>
      <w:r w:rsidRPr="001B26DE">
        <w:rPr>
          <w:lang w:eastAsia="en-GB"/>
        </w:rPr>
        <w:t>’</w:t>
      </w:r>
      <w:r w:rsidRPr="00362CA5">
        <w:rPr>
          <w:lang w:eastAsia="en-GB"/>
        </w:rPr>
        <w:t>s conclusion of the decision, as otherwise it would amount to justification for the decision rather than the reasons for it.</w:t>
      </w:r>
      <w:bookmarkEnd w:id="14"/>
    </w:p>
    <w:p w14:paraId="6757363D" w14:textId="79846393" w:rsidR="00362CA5" w:rsidRPr="00362CA5" w:rsidRDefault="00BC3199" w:rsidP="00972118">
      <w:pPr>
        <w:spacing w:before="100" w:beforeAutospacing="1" w:after="100" w:afterAutospacing="1"/>
        <w:ind w:left="1418" w:right="793"/>
        <w:jc w:val="both"/>
        <w:rPr>
          <w:lang w:eastAsia="en-GB"/>
        </w:rPr>
      </w:pPr>
      <w:bookmarkStart w:id="15" w:name="para46"/>
      <w:r w:rsidRPr="001B26DE">
        <w:rPr>
          <w:lang w:eastAsia="en-GB"/>
        </w:rPr>
        <w:t xml:space="preserve">46.  </w:t>
      </w:r>
      <w:r w:rsidR="00362CA5" w:rsidRPr="00362CA5">
        <w:rPr>
          <w:lang w:eastAsia="en-GB"/>
        </w:rPr>
        <w:t>As Lord Justice Aikens said in </w:t>
      </w:r>
      <w:r w:rsidR="00362CA5" w:rsidRPr="00362CA5">
        <w:rPr>
          <w:i/>
          <w:iCs/>
          <w:lang w:eastAsia="en-GB"/>
        </w:rPr>
        <w:t>R (Brown) v Secretary of State for Work and Pensions </w:t>
      </w:r>
      <w:bookmarkEnd w:id="15"/>
      <w:r w:rsidR="00362CA5" w:rsidRPr="00362CA5">
        <w:rPr>
          <w:lang w:eastAsia="en-GB"/>
        </w:rPr>
        <w:t xml:space="preserve">[2008] EWHC 3156 (Admin), </w:t>
      </w:r>
      <w:r w:rsidRPr="001B26DE">
        <w:rPr>
          <w:lang w:eastAsia="en-GB"/>
        </w:rPr>
        <w:t>‘</w:t>
      </w:r>
      <w:r w:rsidR="00362CA5" w:rsidRPr="00362CA5">
        <w:rPr>
          <w:lang w:eastAsia="en-GB"/>
        </w:rPr>
        <w:t>while there is no duty to make express reference to the regard paid to the relevant duty, reference to it and to the relevant criteria reduces the scope for argument</w:t>
      </w:r>
      <w:r w:rsidRPr="001B26DE">
        <w:rPr>
          <w:lang w:eastAsia="en-GB"/>
        </w:rPr>
        <w:t>’</w:t>
      </w:r>
      <w:r w:rsidR="00362CA5" w:rsidRPr="00362CA5">
        <w:rPr>
          <w:lang w:eastAsia="en-GB"/>
        </w:rPr>
        <w:t xml:space="preserve"> and </w:t>
      </w:r>
      <w:r w:rsidRPr="001B26DE">
        <w:rPr>
          <w:lang w:eastAsia="en-GB"/>
        </w:rPr>
        <w:t>‘</w:t>
      </w:r>
      <w:r w:rsidR="00362CA5" w:rsidRPr="00362CA5">
        <w:rPr>
          <w:lang w:eastAsia="en-GB"/>
        </w:rPr>
        <w:t>it is good practice for a decision maker to keep records demonstrating consideration of the duty</w:t>
      </w:r>
      <w:r w:rsidR="001B26DE" w:rsidRPr="001B26DE">
        <w:rPr>
          <w:lang w:eastAsia="en-GB"/>
        </w:rPr>
        <w:t>’</w:t>
      </w:r>
      <w:r w:rsidR="00362CA5" w:rsidRPr="00362CA5">
        <w:rPr>
          <w:lang w:eastAsia="en-GB"/>
        </w:rPr>
        <w:t>.</w:t>
      </w:r>
      <w:r w:rsidR="001B26DE" w:rsidRPr="001B26DE">
        <w:rPr>
          <w:lang w:eastAsia="en-GB"/>
        </w:rPr>
        <w:t>”</w:t>
      </w:r>
    </w:p>
    <w:p w14:paraId="60E5C4AA" w14:textId="1D247AA2" w:rsidR="00FF2AD6" w:rsidRDefault="000C42F2" w:rsidP="00972118">
      <w:pPr>
        <w:pStyle w:val="ParaLevel1"/>
        <w:rPr>
          <w:szCs w:val="24"/>
        </w:rPr>
      </w:pPr>
      <w:r w:rsidRPr="00FF2AD6">
        <w:rPr>
          <w:szCs w:val="24"/>
          <w:u w:val="single"/>
        </w:rPr>
        <w:t>Second</w:t>
      </w:r>
      <w:r>
        <w:rPr>
          <w:szCs w:val="24"/>
        </w:rPr>
        <w:t>, he considered at paras. 48</w:t>
      </w:r>
      <w:r w:rsidR="0085445C">
        <w:rPr>
          <w:szCs w:val="24"/>
        </w:rPr>
        <w:t xml:space="preserve">-58 whether the GDC had been entitled as a matter of fact to find </w:t>
      </w:r>
      <w:r w:rsidR="007A2CF2">
        <w:rPr>
          <w:szCs w:val="24"/>
        </w:rPr>
        <w:t xml:space="preserve">in its reconsideration </w:t>
      </w:r>
      <w:r w:rsidR="00DB042B">
        <w:rPr>
          <w:szCs w:val="24"/>
        </w:rPr>
        <w:t>that the Headteacher h</w:t>
      </w:r>
      <w:r w:rsidR="008876CA">
        <w:rPr>
          <w:szCs w:val="24"/>
        </w:rPr>
        <w:t>a</w:t>
      </w:r>
      <w:r w:rsidR="00DB042B">
        <w:rPr>
          <w:szCs w:val="24"/>
        </w:rPr>
        <w:t>d considered the PSED prior to making the decide to exclude TZB</w:t>
      </w:r>
      <w:r w:rsidR="003D699D" w:rsidRPr="003D699D">
        <w:rPr>
          <w:szCs w:val="24"/>
        </w:rPr>
        <w:t xml:space="preserve"> </w:t>
      </w:r>
      <w:r w:rsidR="003D699D">
        <w:rPr>
          <w:szCs w:val="24"/>
        </w:rPr>
        <w:t>decision – see the italicised words in the minute quoted at para. 57 above</w:t>
      </w:r>
      <w:r w:rsidR="00DB042B">
        <w:rPr>
          <w:szCs w:val="24"/>
        </w:rPr>
        <w:t>.</w:t>
      </w:r>
      <w:r w:rsidR="00013623">
        <w:rPr>
          <w:szCs w:val="24"/>
        </w:rPr>
        <w:t xml:space="preserve">  </w:t>
      </w:r>
      <w:r w:rsidR="00626599">
        <w:rPr>
          <w:szCs w:val="24"/>
        </w:rPr>
        <w:t xml:space="preserve">He </w:t>
      </w:r>
      <w:r w:rsidR="0099145A">
        <w:rPr>
          <w:szCs w:val="24"/>
        </w:rPr>
        <w:t>noted</w:t>
      </w:r>
      <w:r w:rsidR="00626599">
        <w:rPr>
          <w:szCs w:val="24"/>
        </w:rPr>
        <w:t xml:space="preserve"> at para</w:t>
      </w:r>
      <w:r w:rsidR="00584618">
        <w:rPr>
          <w:szCs w:val="24"/>
        </w:rPr>
        <w:t>s</w:t>
      </w:r>
      <w:r w:rsidR="00626599">
        <w:rPr>
          <w:szCs w:val="24"/>
        </w:rPr>
        <w:t xml:space="preserve">. </w:t>
      </w:r>
      <w:r w:rsidR="009F28B3">
        <w:rPr>
          <w:szCs w:val="24"/>
        </w:rPr>
        <w:t>49</w:t>
      </w:r>
      <w:r w:rsidR="00584618">
        <w:rPr>
          <w:szCs w:val="24"/>
        </w:rPr>
        <w:t>-50</w:t>
      </w:r>
      <w:r w:rsidR="00626599">
        <w:rPr>
          <w:szCs w:val="24"/>
        </w:rPr>
        <w:t xml:space="preserve"> that the reference in the minute to “written evidence” suggested that the </w:t>
      </w:r>
      <w:r w:rsidR="00584618">
        <w:rPr>
          <w:szCs w:val="24"/>
        </w:rPr>
        <w:t xml:space="preserve">GDC thought </w:t>
      </w:r>
      <w:r w:rsidR="003F15CB">
        <w:rPr>
          <w:szCs w:val="24"/>
        </w:rPr>
        <w:t xml:space="preserve">(a) </w:t>
      </w:r>
      <w:r w:rsidR="00584618">
        <w:rPr>
          <w:szCs w:val="24"/>
        </w:rPr>
        <w:t xml:space="preserve">that </w:t>
      </w:r>
      <w:r w:rsidR="003E37E2">
        <w:rPr>
          <w:szCs w:val="24"/>
        </w:rPr>
        <w:t>contemporary documentary evidence of such consideration was required</w:t>
      </w:r>
      <w:r w:rsidR="009F7BAE">
        <w:rPr>
          <w:szCs w:val="24"/>
        </w:rPr>
        <w:t xml:space="preserve"> and </w:t>
      </w:r>
      <w:r w:rsidR="003F15CB">
        <w:rPr>
          <w:szCs w:val="24"/>
        </w:rPr>
        <w:t xml:space="preserve">(b) </w:t>
      </w:r>
      <w:r w:rsidR="009F7BAE">
        <w:rPr>
          <w:szCs w:val="24"/>
        </w:rPr>
        <w:t xml:space="preserve">that </w:t>
      </w:r>
      <w:r w:rsidR="00E969D4">
        <w:rPr>
          <w:szCs w:val="24"/>
        </w:rPr>
        <w:t xml:space="preserve">that requirement was satisfied by </w:t>
      </w:r>
      <w:r w:rsidR="0099145A">
        <w:rPr>
          <w:szCs w:val="24"/>
        </w:rPr>
        <w:t xml:space="preserve">the </w:t>
      </w:r>
      <w:r w:rsidR="003B1BCA">
        <w:rPr>
          <w:szCs w:val="24"/>
        </w:rPr>
        <w:t xml:space="preserve">fact that </w:t>
      </w:r>
      <w:r w:rsidR="0099145A">
        <w:rPr>
          <w:szCs w:val="24"/>
        </w:rPr>
        <w:t xml:space="preserve">Headteacher’s statement </w:t>
      </w:r>
      <w:r w:rsidR="00232C44">
        <w:rPr>
          <w:szCs w:val="24"/>
        </w:rPr>
        <w:t xml:space="preserve">that she had done so was recorded in the minutes </w:t>
      </w:r>
      <w:r w:rsidR="00E969D4">
        <w:rPr>
          <w:szCs w:val="24"/>
        </w:rPr>
        <w:t xml:space="preserve">of the first </w:t>
      </w:r>
      <w:r w:rsidR="00A56625">
        <w:rPr>
          <w:szCs w:val="24"/>
        </w:rPr>
        <w:t>meeting</w:t>
      </w:r>
      <w:r w:rsidR="003F15CB">
        <w:rPr>
          <w:szCs w:val="24"/>
        </w:rPr>
        <w:t>.  If so, the GDC was wrong on both counts</w:t>
      </w:r>
      <w:r w:rsidR="007610FE">
        <w:rPr>
          <w:szCs w:val="24"/>
        </w:rPr>
        <w:t>; but t</w:t>
      </w:r>
      <w:r w:rsidR="00903FA5">
        <w:rPr>
          <w:szCs w:val="24"/>
        </w:rPr>
        <w:t xml:space="preserve">hat was </w:t>
      </w:r>
      <w:r w:rsidR="002E7790">
        <w:rPr>
          <w:szCs w:val="24"/>
        </w:rPr>
        <w:t>immaterial</w:t>
      </w:r>
      <w:r w:rsidR="00903FA5">
        <w:rPr>
          <w:szCs w:val="24"/>
        </w:rPr>
        <w:t xml:space="preserve"> because </w:t>
      </w:r>
      <w:r w:rsidR="007610FE">
        <w:rPr>
          <w:szCs w:val="24"/>
        </w:rPr>
        <w:t xml:space="preserve">all that </w:t>
      </w:r>
      <w:r w:rsidR="00903FA5">
        <w:rPr>
          <w:szCs w:val="24"/>
        </w:rPr>
        <w:t xml:space="preserve">mattered was </w:t>
      </w:r>
      <w:r w:rsidR="002E7790">
        <w:rPr>
          <w:szCs w:val="24"/>
        </w:rPr>
        <w:t xml:space="preserve">whether </w:t>
      </w:r>
      <w:r w:rsidR="002726EE">
        <w:rPr>
          <w:szCs w:val="24"/>
        </w:rPr>
        <w:t xml:space="preserve">she had </w:t>
      </w:r>
      <w:r w:rsidR="002726EE" w:rsidRPr="007610FE">
        <w:rPr>
          <w:szCs w:val="24"/>
          <w:u w:val="single"/>
        </w:rPr>
        <w:t>in fact</w:t>
      </w:r>
      <w:r w:rsidR="002726EE">
        <w:rPr>
          <w:szCs w:val="24"/>
        </w:rPr>
        <w:t xml:space="preserve"> </w:t>
      </w:r>
      <w:r w:rsidR="00187D8B">
        <w:rPr>
          <w:szCs w:val="24"/>
        </w:rPr>
        <w:t>considered the PSED before she made the decision.</w:t>
      </w:r>
      <w:r w:rsidR="007610FE">
        <w:rPr>
          <w:szCs w:val="24"/>
        </w:rPr>
        <w:t xml:space="preserve">  </w:t>
      </w:r>
    </w:p>
    <w:p w14:paraId="5EC3FD31" w14:textId="0F6DBEA7" w:rsidR="00F32F59" w:rsidRDefault="007610FE" w:rsidP="00972118">
      <w:pPr>
        <w:pStyle w:val="ParaLevel1"/>
        <w:rPr>
          <w:szCs w:val="24"/>
        </w:rPr>
      </w:pPr>
      <w:r>
        <w:rPr>
          <w:szCs w:val="24"/>
        </w:rPr>
        <w:t xml:space="preserve">As to that, </w:t>
      </w:r>
      <w:r w:rsidR="00FF2AD6">
        <w:rPr>
          <w:szCs w:val="24"/>
        </w:rPr>
        <w:t>t</w:t>
      </w:r>
      <w:r w:rsidR="003E51C6">
        <w:rPr>
          <w:szCs w:val="24"/>
        </w:rPr>
        <w:t xml:space="preserve">he </w:t>
      </w:r>
      <w:r w:rsidR="00FF2AD6">
        <w:rPr>
          <w:szCs w:val="24"/>
        </w:rPr>
        <w:t xml:space="preserve">Judge </w:t>
      </w:r>
      <w:r w:rsidR="003E51C6">
        <w:rPr>
          <w:szCs w:val="24"/>
        </w:rPr>
        <w:t xml:space="preserve">found that </w:t>
      </w:r>
      <w:r w:rsidR="00FF2AD6">
        <w:rPr>
          <w:szCs w:val="24"/>
        </w:rPr>
        <w:t>the Headteacher’s</w:t>
      </w:r>
      <w:r w:rsidR="003E51C6">
        <w:rPr>
          <w:szCs w:val="24"/>
        </w:rPr>
        <w:t xml:space="preserve"> statement as recorded in para. 2.1 of the minutes</w:t>
      </w:r>
      <w:r w:rsidR="000D5BF8">
        <w:rPr>
          <w:szCs w:val="24"/>
        </w:rPr>
        <w:t xml:space="preserve"> </w:t>
      </w:r>
      <w:r w:rsidR="00121747">
        <w:rPr>
          <w:szCs w:val="24"/>
        </w:rPr>
        <w:t>was a proper basis for the GDC’s finding.</w:t>
      </w:r>
      <w:r w:rsidR="00A806CB">
        <w:rPr>
          <w:szCs w:val="24"/>
        </w:rPr>
        <w:t xml:space="preserve">  Paras. </w:t>
      </w:r>
      <w:r w:rsidR="00F32F59">
        <w:rPr>
          <w:szCs w:val="24"/>
        </w:rPr>
        <w:t>52-56 of the judgment read as follows:</w:t>
      </w:r>
    </w:p>
    <w:p w14:paraId="3BEEB7C1" w14:textId="716C1358" w:rsidR="00057982" w:rsidRPr="00C310FE" w:rsidRDefault="00057982" w:rsidP="00972118">
      <w:pPr>
        <w:spacing w:before="100" w:beforeAutospacing="1" w:after="100" w:afterAutospacing="1"/>
        <w:ind w:left="1418" w:right="793"/>
        <w:jc w:val="both"/>
        <w:rPr>
          <w:color w:val="000000"/>
          <w:lang w:eastAsia="en-GB"/>
        </w:rPr>
      </w:pPr>
      <w:bookmarkStart w:id="16" w:name="para52"/>
      <w:r>
        <w:rPr>
          <w:color w:val="000000"/>
          <w:sz w:val="27"/>
          <w:szCs w:val="27"/>
        </w:rPr>
        <w:t>“</w:t>
      </w:r>
      <w:r w:rsidRPr="00C310FE">
        <w:rPr>
          <w:color w:val="000000"/>
        </w:rPr>
        <w:t>52.  Ms Harrison KC submitted that this passage left open the possibility that the Headteacher had considered the Equality Act 2010 (and therefore the PSED) only post-exclusion, and possibly for the first time when giving evidence at the initial GDC meeting.</w:t>
      </w:r>
      <w:bookmarkEnd w:id="16"/>
    </w:p>
    <w:p w14:paraId="500C3A5C" w14:textId="141901FB" w:rsidR="00057982" w:rsidRPr="00C310FE" w:rsidRDefault="00CC4D24" w:rsidP="00972118">
      <w:pPr>
        <w:spacing w:before="100" w:beforeAutospacing="1" w:after="100" w:afterAutospacing="1"/>
        <w:ind w:left="1418" w:right="793"/>
        <w:jc w:val="both"/>
        <w:rPr>
          <w:color w:val="000000"/>
        </w:rPr>
      </w:pPr>
      <w:bookmarkStart w:id="17" w:name="para53"/>
      <w:r w:rsidRPr="00C310FE">
        <w:rPr>
          <w:color w:val="000000"/>
        </w:rPr>
        <w:t xml:space="preserve">53.  </w:t>
      </w:r>
      <w:r w:rsidR="00057982" w:rsidRPr="00C310FE">
        <w:rPr>
          <w:color w:val="000000"/>
        </w:rPr>
        <w:t>However, the minutes are just minutes: they are not a verbatim transcript of what was said at the hearing. It is not appropriate to parse the minutes as if they are legislation. As is clear from the witness statement of the Chair of the GDC, and as is adequately clear from the minutes of the initial GDC meeting and the reconsideration meeting when read together and as a whole, the GDC understood the Headteacher</w:t>
      </w:r>
      <w:r w:rsidRPr="00C310FE">
        <w:rPr>
          <w:color w:val="000000"/>
        </w:rPr>
        <w:t>’</w:t>
      </w:r>
      <w:r w:rsidR="00057982" w:rsidRPr="00C310FE">
        <w:rPr>
          <w:color w:val="000000"/>
        </w:rPr>
        <w:t>s evidence as being that she had complied with the Equality Act 2010. Since compliance can only be achieved by giving due consideration to the PSED duty prior to concluding the decision in question, the GDC was entitled to the interpretation that it put on her evidence.</w:t>
      </w:r>
      <w:bookmarkEnd w:id="17"/>
    </w:p>
    <w:p w14:paraId="0027ADB3" w14:textId="10537EA4" w:rsidR="00057982" w:rsidRPr="00C310FE" w:rsidRDefault="00CC4D24" w:rsidP="00972118">
      <w:pPr>
        <w:spacing w:before="100" w:beforeAutospacing="1" w:after="100" w:afterAutospacing="1"/>
        <w:ind w:left="1418" w:right="793"/>
        <w:jc w:val="both"/>
        <w:rPr>
          <w:color w:val="000000"/>
        </w:rPr>
      </w:pPr>
      <w:bookmarkStart w:id="18" w:name="para54"/>
      <w:r w:rsidRPr="00C310FE">
        <w:rPr>
          <w:color w:val="000000"/>
        </w:rPr>
        <w:t xml:space="preserve">54.  </w:t>
      </w:r>
      <w:r w:rsidR="00057982" w:rsidRPr="00C310FE">
        <w:rPr>
          <w:color w:val="000000"/>
        </w:rPr>
        <w:t>While the authorities relating to exercise of the PSED rightly counsel caution in relation to evidence given after the event about how a decision maker reached their decision, that is not to say that it would be wrong in all circumstances to place weight on such evidence. The GDC had to assess the evidence before it and decide, in the light of the evidence as a whole, what evidence it could rely upon and what it could not.</w:t>
      </w:r>
      <w:bookmarkEnd w:id="18"/>
    </w:p>
    <w:p w14:paraId="0D3F4A14" w14:textId="2C4CD7E0" w:rsidR="00057982" w:rsidRPr="00C310FE" w:rsidRDefault="00CC4D24" w:rsidP="00972118">
      <w:pPr>
        <w:spacing w:before="100" w:beforeAutospacing="1" w:after="100" w:afterAutospacing="1"/>
        <w:ind w:left="1418" w:right="793"/>
        <w:jc w:val="both"/>
        <w:rPr>
          <w:color w:val="000000"/>
        </w:rPr>
      </w:pPr>
      <w:bookmarkStart w:id="19" w:name="para55"/>
      <w:r w:rsidRPr="00C310FE">
        <w:rPr>
          <w:color w:val="000000"/>
        </w:rPr>
        <w:t xml:space="preserve">55.  </w:t>
      </w:r>
      <w:r w:rsidR="00057982" w:rsidRPr="00C310FE">
        <w:rPr>
          <w:color w:val="000000"/>
        </w:rPr>
        <w:t>A school Governing Body carrying out its role of considering whether to reinstate a permanently excluded pupil is not in the same position as a court reviewing a public authority's decision: the members of a governors</w:t>
      </w:r>
      <w:r w:rsidRPr="00C310FE">
        <w:rPr>
          <w:color w:val="000000"/>
        </w:rPr>
        <w:t>’</w:t>
      </w:r>
      <w:r w:rsidR="00057982" w:rsidRPr="00C310FE">
        <w:rPr>
          <w:color w:val="000000"/>
        </w:rPr>
        <w:t xml:space="preserve"> disciplinary committee can be expected to have considerable experience of the Headteacher through their interactions as governors. That experience is likely to have put the members of the GDC in an excellent position to form a view of the Headteacher's credibility and to assess the reliability of her evidence.</w:t>
      </w:r>
      <w:bookmarkEnd w:id="19"/>
    </w:p>
    <w:p w14:paraId="50098E86" w14:textId="22AC4557" w:rsidR="00057982" w:rsidRPr="00C310FE" w:rsidRDefault="001254B2" w:rsidP="00972118">
      <w:pPr>
        <w:spacing w:before="100" w:beforeAutospacing="1" w:after="100" w:afterAutospacing="1"/>
        <w:ind w:left="1418" w:right="793"/>
        <w:jc w:val="both"/>
        <w:rPr>
          <w:color w:val="000000"/>
        </w:rPr>
      </w:pPr>
      <w:bookmarkStart w:id="20" w:name="para56"/>
      <w:r w:rsidRPr="00C310FE">
        <w:rPr>
          <w:color w:val="000000"/>
        </w:rPr>
        <w:t xml:space="preserve">56.  </w:t>
      </w:r>
      <w:r w:rsidR="00057982" w:rsidRPr="00C310FE">
        <w:rPr>
          <w:color w:val="000000"/>
        </w:rPr>
        <w:t>In assessing whether the GDC was entitled to give the weight that it did to the Headteacher</w:t>
      </w:r>
      <w:r w:rsidRPr="00C310FE">
        <w:rPr>
          <w:color w:val="000000"/>
        </w:rPr>
        <w:t>’</w:t>
      </w:r>
      <w:r w:rsidR="00057982" w:rsidRPr="00C310FE">
        <w:rPr>
          <w:color w:val="000000"/>
        </w:rPr>
        <w:t xml:space="preserve">s evidence on her decision making, I am entitled to consider all the evidence before me, including the witness statement of the chair of the GDC dated 11 January 2023 </w:t>
      </w:r>
      <w:r w:rsidRPr="00C310FE">
        <w:rPr>
          <w:color w:val="000000"/>
        </w:rPr>
        <w:t>… .”</w:t>
      </w:r>
      <w:bookmarkEnd w:id="20"/>
    </w:p>
    <w:p w14:paraId="7362BA24" w14:textId="3724105C" w:rsidR="001F1216" w:rsidRDefault="00BB3924" w:rsidP="00972118">
      <w:pPr>
        <w:pStyle w:val="ParaLevel1"/>
        <w:rPr>
          <w:szCs w:val="24"/>
        </w:rPr>
      </w:pPr>
      <w:r>
        <w:rPr>
          <w:szCs w:val="24"/>
          <w:u w:val="single"/>
        </w:rPr>
        <w:t>Third</w:t>
      </w:r>
      <w:r>
        <w:rPr>
          <w:szCs w:val="24"/>
        </w:rPr>
        <w:t xml:space="preserve">, </w:t>
      </w:r>
      <w:r w:rsidR="000F4FD0">
        <w:rPr>
          <w:szCs w:val="24"/>
        </w:rPr>
        <w:t>the Judge addre</w:t>
      </w:r>
      <w:r w:rsidR="00306141">
        <w:rPr>
          <w:szCs w:val="24"/>
        </w:rPr>
        <w:t xml:space="preserve">ssed </w:t>
      </w:r>
      <w:r w:rsidR="00FE0D67">
        <w:rPr>
          <w:szCs w:val="24"/>
        </w:rPr>
        <w:t xml:space="preserve">at paras. 59-68 </w:t>
      </w:r>
      <w:r w:rsidR="00306141">
        <w:rPr>
          <w:szCs w:val="24"/>
        </w:rPr>
        <w:t xml:space="preserve">a submission by Ms Harrison </w:t>
      </w:r>
      <w:r w:rsidR="00EF70BA">
        <w:rPr>
          <w:szCs w:val="24"/>
        </w:rPr>
        <w:t xml:space="preserve">that (in summary) the </w:t>
      </w:r>
      <w:r w:rsidR="00936717">
        <w:rPr>
          <w:szCs w:val="24"/>
        </w:rPr>
        <w:t xml:space="preserve">very general references in </w:t>
      </w:r>
      <w:r w:rsidR="003B2390">
        <w:rPr>
          <w:szCs w:val="24"/>
        </w:rPr>
        <w:t xml:space="preserve">para. 2.1 of the minutes could not support a finding that the </w:t>
      </w:r>
      <w:r w:rsidR="000340B8">
        <w:rPr>
          <w:szCs w:val="24"/>
        </w:rPr>
        <w:t xml:space="preserve">Headteacher had had “due regard” to </w:t>
      </w:r>
      <w:r w:rsidR="00FB328D">
        <w:rPr>
          <w:szCs w:val="24"/>
        </w:rPr>
        <w:t>the matters identified under section 149 (1) (b) and (c)</w:t>
      </w:r>
      <w:r w:rsidR="00BC6350">
        <w:rPr>
          <w:szCs w:val="24"/>
        </w:rPr>
        <w:t xml:space="preserve">, particularly where, as in TZB’s case, more than </w:t>
      </w:r>
      <w:r w:rsidR="00A91988">
        <w:rPr>
          <w:szCs w:val="24"/>
        </w:rPr>
        <w:t xml:space="preserve">one protected characteristic </w:t>
      </w:r>
      <w:r w:rsidR="00BC6350">
        <w:rPr>
          <w:szCs w:val="24"/>
        </w:rPr>
        <w:t>was engaged</w:t>
      </w:r>
      <w:r w:rsidR="00A91988">
        <w:rPr>
          <w:szCs w:val="24"/>
        </w:rPr>
        <w:t>.</w:t>
      </w:r>
      <w:r w:rsidR="001F1216">
        <w:rPr>
          <w:szCs w:val="24"/>
        </w:rPr>
        <w:t xml:space="preserve">  </w:t>
      </w:r>
      <w:r w:rsidR="008E53C8">
        <w:rPr>
          <w:szCs w:val="24"/>
        </w:rPr>
        <w:t>He said that it was clear from the authorities</w:t>
      </w:r>
      <w:r w:rsidR="00A14570">
        <w:rPr>
          <w:rStyle w:val="FootnoteReference"/>
          <w:szCs w:val="24"/>
        </w:rPr>
        <w:footnoteReference w:id="9"/>
      </w:r>
      <w:r w:rsidR="008E53C8">
        <w:rPr>
          <w:szCs w:val="24"/>
        </w:rPr>
        <w:t xml:space="preserve"> that “</w:t>
      </w:r>
      <w:r w:rsidR="00B117BC">
        <w:rPr>
          <w:szCs w:val="24"/>
        </w:rPr>
        <w:t>what amounts to ‘due regard’ is very much context dependent”</w:t>
      </w:r>
      <w:r w:rsidR="00985254">
        <w:rPr>
          <w:szCs w:val="24"/>
        </w:rPr>
        <w:t xml:space="preserve"> and</w:t>
      </w:r>
      <w:r w:rsidR="00B117BC">
        <w:rPr>
          <w:szCs w:val="24"/>
        </w:rPr>
        <w:t xml:space="preserve"> continued:</w:t>
      </w:r>
    </w:p>
    <w:p w14:paraId="777F69AF" w14:textId="6F312E2F" w:rsidR="001F1216" w:rsidRPr="001F1216" w:rsidRDefault="006404EE" w:rsidP="00972118">
      <w:pPr>
        <w:pStyle w:val="ParaLevel1"/>
        <w:numPr>
          <w:ilvl w:val="0"/>
          <w:numId w:val="0"/>
        </w:numPr>
        <w:ind w:left="1418" w:right="793"/>
      </w:pPr>
      <w:bookmarkStart w:id="21" w:name="para60"/>
      <w:r>
        <w:rPr>
          <w:szCs w:val="24"/>
        </w:rPr>
        <w:t xml:space="preserve">“60.  </w:t>
      </w:r>
      <w:r w:rsidR="001F1216" w:rsidRPr="001F1216">
        <w:t>The context here is that the Exclusion Decision was an individual exclusion decision affecting a single pupil with known protected characteristics. The immediate practical impact of the exclusion on TZB was obvious, albeit that the full extent of the possible long term consequences for TZB</w:t>
      </w:r>
      <w:r>
        <w:t>’</w:t>
      </w:r>
      <w:r w:rsidR="001F1216" w:rsidRPr="001F1216">
        <w:t>s life chances, as explained in the evidence submitted on behalf of the Claimant in these proceedings, were less obvious.</w:t>
      </w:r>
      <w:bookmarkEnd w:id="21"/>
    </w:p>
    <w:p w14:paraId="6E0666A4" w14:textId="5F0200D1" w:rsidR="001F1216" w:rsidRPr="001F1216" w:rsidRDefault="006404EE" w:rsidP="00972118">
      <w:pPr>
        <w:pStyle w:val="ParaLevel1"/>
        <w:numPr>
          <w:ilvl w:val="0"/>
          <w:numId w:val="0"/>
        </w:numPr>
        <w:ind w:left="1418" w:right="793"/>
      </w:pPr>
      <w:bookmarkStart w:id="22" w:name="para61"/>
      <w:r>
        <w:t xml:space="preserve">61.  </w:t>
      </w:r>
      <w:r w:rsidR="001F1216" w:rsidRPr="001F1216">
        <w:t>The Exclusion Decision was made by the Headteacher of a large, ethnically and culturally diverse urban secondary school of approximately 1500 pupils, approximately 3% of whom identified as Black Caribbean, nearly 25% of whom identified as Black, and approximately 27% of whom identified as White. The school population, as one would expect, includes pupils with a wide variety of aptitudes, abilities and disabilities, and the School has a dedicated Inclusion Faculty. It is clear (and would have been clear to the GDC at the time of making both of its decisions) that the Headteacher was well aware both of TZB</w:t>
      </w:r>
      <w:r w:rsidR="00CF24B6">
        <w:t>’</w:t>
      </w:r>
      <w:r w:rsidR="001F1216" w:rsidRPr="001F1216">
        <w:t>s ethnicity and of his special educational needs and the support that had been provided to him in this regard.</w:t>
      </w:r>
      <w:bookmarkEnd w:id="22"/>
    </w:p>
    <w:p w14:paraId="016FC7C7" w14:textId="75F1F966" w:rsidR="00422814" w:rsidRDefault="00CF24B6" w:rsidP="00972118">
      <w:pPr>
        <w:pStyle w:val="ParaLevel1"/>
        <w:numPr>
          <w:ilvl w:val="0"/>
          <w:numId w:val="0"/>
        </w:numPr>
        <w:ind w:left="1418" w:right="793"/>
      </w:pPr>
      <w:r>
        <w:t xml:space="preserve">62. </w:t>
      </w:r>
      <w:r w:rsidR="00784244">
        <w:t xml:space="preserve"> </w:t>
      </w:r>
      <w:r w:rsidR="00E01A11">
        <w:t xml:space="preserve"> [</w:t>
      </w:r>
      <w:r w:rsidR="00C12325">
        <w:t>Already quoted</w:t>
      </w:r>
      <w:r w:rsidR="00E01A11">
        <w:t xml:space="preserve"> at para. </w:t>
      </w:r>
      <w:r w:rsidR="00072A9B">
        <w:t>19</w:t>
      </w:r>
      <w:r w:rsidR="00E01A11">
        <w:t xml:space="preserve"> above.]</w:t>
      </w:r>
    </w:p>
    <w:p w14:paraId="412850B7" w14:textId="00491C46" w:rsidR="001F1216" w:rsidRDefault="00422814" w:rsidP="00972118">
      <w:pPr>
        <w:pStyle w:val="ParaLevel1"/>
        <w:numPr>
          <w:ilvl w:val="0"/>
          <w:numId w:val="0"/>
        </w:numPr>
        <w:ind w:left="1418" w:right="793"/>
      </w:pPr>
      <w:r>
        <w:t xml:space="preserve">63. </w:t>
      </w:r>
      <w:r w:rsidR="00CF24B6">
        <w:t xml:space="preserve"> </w:t>
      </w:r>
      <w:bookmarkStart w:id="23" w:name="para63"/>
      <w:r w:rsidR="004E1E83">
        <w:t xml:space="preserve">The School didn’t dispute this evidence. Neither did it claim that the Headteacher read this particular research before making the Exclusion Decision. However, its </w:t>
      </w:r>
      <w:r w:rsidR="001F1216" w:rsidRPr="001F1216">
        <w:t>case was that (as was demonstrated by her evidence in her witness statement) the Headteacher was very well informed not only about TZB</w:t>
      </w:r>
      <w:r w:rsidR="00B8286C">
        <w:t>’</w:t>
      </w:r>
      <w:r w:rsidR="001F1216" w:rsidRPr="001F1216">
        <w:t>s own circumstances but also about the disproportionate representation of those sharing his protected characteristics among those permanently excluded from school, not only nationally but also locally (albeit that the School had a lower rate of overrepresentation than was the case in local schools generally).</w:t>
      </w:r>
      <w:bookmarkEnd w:id="23"/>
    </w:p>
    <w:p w14:paraId="168913E9" w14:textId="56978BBF" w:rsidR="00422814" w:rsidRPr="001F1216" w:rsidRDefault="00422814" w:rsidP="00972118">
      <w:pPr>
        <w:pStyle w:val="ParaLevel1"/>
        <w:numPr>
          <w:ilvl w:val="0"/>
          <w:numId w:val="0"/>
        </w:numPr>
        <w:ind w:left="1418" w:right="793"/>
      </w:pPr>
      <w:r>
        <w:t xml:space="preserve">64.  </w:t>
      </w:r>
      <w:r w:rsidR="00A36321">
        <w:t xml:space="preserve">While not binding on the GDC, or indeed on me, I note that the advice given by the Secretary of State in relation to the implementation of the PSED in schools cases is that </w:t>
      </w:r>
      <w:r w:rsidR="00B83C0E">
        <w:t>‘t</w:t>
      </w:r>
      <w:r w:rsidR="00A36321">
        <w:t>he duty only needs to be implemented in a light-touch way, proportionate to the issue being considered</w:t>
      </w:r>
      <w:r w:rsidR="00B83C0E">
        <w:t>’</w:t>
      </w:r>
      <w:r w:rsidR="00A36321">
        <w:t xml:space="preserve"> (see paragraph [5.7] of </w:t>
      </w:r>
      <w:r w:rsidR="00A36321" w:rsidRPr="00B83C0E">
        <w:rPr>
          <w:i/>
          <w:iCs/>
        </w:rPr>
        <w:t>Equality Act 2010 Advice for Schools</w:t>
      </w:r>
      <w:r w:rsidR="00B83C0E">
        <w:t>’</w:t>
      </w:r>
      <w:r w:rsidR="00A36321">
        <w:t>). That is consistent with the approach taken in the authorities.</w:t>
      </w:r>
    </w:p>
    <w:p w14:paraId="0E487FCD" w14:textId="5A7F7211" w:rsidR="001F1216" w:rsidRPr="001F1216" w:rsidRDefault="00784244" w:rsidP="00972118">
      <w:pPr>
        <w:pStyle w:val="ParaLevel1"/>
        <w:numPr>
          <w:ilvl w:val="0"/>
          <w:numId w:val="0"/>
        </w:numPr>
        <w:ind w:left="1418" w:right="793"/>
      </w:pPr>
      <w:bookmarkStart w:id="24" w:name="para65"/>
      <w:r>
        <w:t xml:space="preserve">65.  </w:t>
      </w:r>
      <w:r w:rsidR="001F1216" w:rsidRPr="001F1216">
        <w:t>What was required of the Headteacher in the circumstances of this case was simply to ensure that she brought the matters which were, as an experienced leader in a diverse urban secondary school, already within her knowledge in relation to TZB</w:t>
      </w:r>
      <w:r>
        <w:t>’</w:t>
      </w:r>
      <w:r w:rsidR="001F1216" w:rsidRPr="001F1216">
        <w:t>s</w:t>
      </w:r>
      <w:r w:rsidR="008779B8">
        <w:t xml:space="preserve"> </w:t>
      </w:r>
      <w:r w:rsidR="001F1216" w:rsidRPr="001F1216">
        <w:t>protected characteristics and the disadvantage experienced by those sharing those characteristics into her consideration of all relevant factors in the decision making process. In the circumstances, I am satisfied that the GDC was entitled to find that the Headteacher had complied with her duties under the Equality Act 2010 (including the PSED).</w:t>
      </w:r>
      <w:bookmarkEnd w:id="24"/>
      <w:r w:rsidR="001F1216">
        <w:t>”</w:t>
      </w:r>
    </w:p>
    <w:p w14:paraId="0F2F5FF2" w14:textId="79A0B671" w:rsidR="005130DF" w:rsidRDefault="00A777C7" w:rsidP="00972118">
      <w:pPr>
        <w:pStyle w:val="ParaLevel1"/>
        <w:rPr>
          <w:szCs w:val="24"/>
        </w:rPr>
      </w:pPr>
      <w:r w:rsidRPr="00D9376A">
        <w:rPr>
          <w:szCs w:val="24"/>
          <w:u w:val="single"/>
        </w:rPr>
        <w:t>Fourth</w:t>
      </w:r>
      <w:r w:rsidRPr="00D9376A">
        <w:rPr>
          <w:szCs w:val="24"/>
        </w:rPr>
        <w:t>,</w:t>
      </w:r>
      <w:r w:rsidR="00762FA6" w:rsidRPr="00D9376A">
        <w:rPr>
          <w:szCs w:val="24"/>
        </w:rPr>
        <w:t xml:space="preserve"> </w:t>
      </w:r>
      <w:r w:rsidR="004866B3">
        <w:rPr>
          <w:szCs w:val="24"/>
        </w:rPr>
        <w:t xml:space="preserve">at paras. </w:t>
      </w:r>
      <w:r w:rsidR="007D3653">
        <w:rPr>
          <w:szCs w:val="24"/>
        </w:rPr>
        <w:t xml:space="preserve">69-78 </w:t>
      </w:r>
      <w:r w:rsidR="00825442" w:rsidRPr="00D9376A">
        <w:rPr>
          <w:szCs w:val="24"/>
        </w:rPr>
        <w:t xml:space="preserve">he considered a submission based on the language of </w:t>
      </w:r>
      <w:r w:rsidR="00D9376A" w:rsidRPr="00D9376A">
        <w:rPr>
          <w:szCs w:val="24"/>
        </w:rPr>
        <w:t>para. 10.10 of the minutes of the first GDC meeting</w:t>
      </w:r>
      <w:r w:rsidR="00D9376A">
        <w:rPr>
          <w:szCs w:val="24"/>
        </w:rPr>
        <w:t xml:space="preserve">.  As </w:t>
      </w:r>
      <w:r w:rsidR="00EE69E6">
        <w:rPr>
          <w:szCs w:val="24"/>
        </w:rPr>
        <w:t xml:space="preserve">already noted, that language </w:t>
      </w:r>
      <w:r w:rsidR="00A37EF9">
        <w:rPr>
          <w:szCs w:val="24"/>
        </w:rPr>
        <w:t>referred only to “less favourable treatment”</w:t>
      </w:r>
      <w:r w:rsidR="00762D92">
        <w:rPr>
          <w:szCs w:val="24"/>
        </w:rPr>
        <w:t xml:space="preserve"> and contained no express reference to heads (b) or (c) under section 149 (1)</w:t>
      </w:r>
      <w:r w:rsidR="008A5B89">
        <w:rPr>
          <w:szCs w:val="24"/>
        </w:rPr>
        <w:t xml:space="preserve"> or to TZB’s ethnicity</w:t>
      </w:r>
      <w:r w:rsidR="00330C51">
        <w:rPr>
          <w:szCs w:val="24"/>
        </w:rPr>
        <w:t xml:space="preserve"> but only to </w:t>
      </w:r>
      <w:r w:rsidR="0075361E">
        <w:rPr>
          <w:szCs w:val="24"/>
        </w:rPr>
        <w:t>“his SEN needs”</w:t>
      </w:r>
      <w:r w:rsidR="008A5B89">
        <w:rPr>
          <w:szCs w:val="24"/>
        </w:rPr>
        <w:t>.  (</w:t>
      </w:r>
      <w:r w:rsidR="00D05136">
        <w:rPr>
          <w:szCs w:val="24"/>
        </w:rPr>
        <w:t xml:space="preserve">Similar points can in fact be made </w:t>
      </w:r>
      <w:r w:rsidR="00871261">
        <w:rPr>
          <w:szCs w:val="24"/>
        </w:rPr>
        <w:t>about</w:t>
      </w:r>
      <w:r w:rsidR="00D05136">
        <w:rPr>
          <w:szCs w:val="24"/>
        </w:rPr>
        <w:t xml:space="preserve"> para. 2.1.)</w:t>
      </w:r>
      <w:r w:rsidR="00A1128A">
        <w:rPr>
          <w:szCs w:val="24"/>
        </w:rPr>
        <w:t xml:space="preserve">  </w:t>
      </w:r>
      <w:r w:rsidR="00360106">
        <w:rPr>
          <w:szCs w:val="24"/>
        </w:rPr>
        <w:t>H</w:t>
      </w:r>
      <w:r w:rsidR="00A1128A">
        <w:rPr>
          <w:szCs w:val="24"/>
        </w:rPr>
        <w:t>e rej</w:t>
      </w:r>
      <w:r w:rsidR="00F869EB">
        <w:rPr>
          <w:szCs w:val="24"/>
        </w:rPr>
        <w:t xml:space="preserve">ected that criticism for </w:t>
      </w:r>
      <w:r w:rsidR="005130DF">
        <w:rPr>
          <w:szCs w:val="24"/>
        </w:rPr>
        <w:t>three</w:t>
      </w:r>
      <w:r w:rsidR="00F869EB">
        <w:rPr>
          <w:szCs w:val="24"/>
        </w:rPr>
        <w:t xml:space="preserve"> reasons</w:t>
      </w:r>
      <w:r w:rsidR="005130DF">
        <w:rPr>
          <w:szCs w:val="24"/>
        </w:rPr>
        <w:t>:</w:t>
      </w:r>
    </w:p>
    <w:p w14:paraId="5215F17A" w14:textId="2075D8D6" w:rsidR="00730A94" w:rsidRDefault="005130DF" w:rsidP="00972118">
      <w:pPr>
        <w:pStyle w:val="ParaLevel1"/>
        <w:numPr>
          <w:ilvl w:val="0"/>
          <w:numId w:val="0"/>
        </w:numPr>
        <w:ind w:left="1287" w:hanging="567"/>
      </w:pPr>
      <w:r w:rsidRPr="005130DF">
        <w:rPr>
          <w:szCs w:val="24"/>
        </w:rPr>
        <w:t>(1)</w:t>
      </w:r>
      <w:r w:rsidRPr="005130DF">
        <w:rPr>
          <w:szCs w:val="24"/>
        </w:rPr>
        <w:tab/>
      </w:r>
      <w:r>
        <w:rPr>
          <w:szCs w:val="24"/>
        </w:rPr>
        <w:t xml:space="preserve">He </w:t>
      </w:r>
      <w:r w:rsidR="00FA3AA7">
        <w:rPr>
          <w:szCs w:val="24"/>
        </w:rPr>
        <w:t xml:space="preserve">believed that the statement that </w:t>
      </w:r>
      <w:r w:rsidR="008335E1">
        <w:rPr>
          <w:szCs w:val="24"/>
        </w:rPr>
        <w:t>“</w:t>
      </w:r>
      <w:r w:rsidR="008335E1">
        <w:t xml:space="preserve">the requirements of the Equality Act had been considered” was most naturally read in accordance with its literal meaning – that is, </w:t>
      </w:r>
      <w:r w:rsidR="004866B3">
        <w:t xml:space="preserve">that </w:t>
      </w:r>
      <w:r w:rsidR="004866B3" w:rsidRPr="004866B3">
        <w:t>all</w:t>
      </w:r>
      <w:r w:rsidR="004866B3">
        <w:t xml:space="preserve"> the relevant requirements had been considered</w:t>
      </w:r>
      <w:r w:rsidR="00766709">
        <w:t xml:space="preserve"> </w:t>
      </w:r>
      <w:r w:rsidR="000B0027">
        <w:t xml:space="preserve">– </w:t>
      </w:r>
      <w:r w:rsidR="00766709">
        <w:t>see para. 73.</w:t>
      </w:r>
    </w:p>
    <w:p w14:paraId="3A546505" w14:textId="1B8147E9" w:rsidR="00766709" w:rsidRDefault="00766709" w:rsidP="00972118">
      <w:pPr>
        <w:pStyle w:val="ParaLevel1"/>
        <w:numPr>
          <w:ilvl w:val="0"/>
          <w:numId w:val="0"/>
        </w:numPr>
        <w:ind w:left="1287" w:hanging="567"/>
      </w:pPr>
      <w:r>
        <w:t>(2)</w:t>
      </w:r>
      <w:r>
        <w:tab/>
      </w:r>
      <w:r w:rsidR="0037145C">
        <w:t xml:space="preserve">In any event, </w:t>
      </w:r>
      <w:r w:rsidR="003B0852">
        <w:t>what mattered was what the GDC understood at the time of the decision under challenge, being the reconsideration decision</w:t>
      </w:r>
      <w:r w:rsidR="00871261">
        <w:t xml:space="preserve">, and the language of the minute of that meeting </w:t>
      </w:r>
      <w:r w:rsidR="00307C75">
        <w:t xml:space="preserve">clearly distinguished between </w:t>
      </w:r>
      <w:r w:rsidR="00615FB6">
        <w:t xml:space="preserve">“the requirements of the Equality Act” and </w:t>
      </w:r>
      <w:r w:rsidR="00377BAB">
        <w:t xml:space="preserve">TZB’s SEN needs </w:t>
      </w:r>
      <w:r w:rsidR="009416F8">
        <w:t>–</w:t>
      </w:r>
      <w:r w:rsidR="000B0027">
        <w:t xml:space="preserve"> </w:t>
      </w:r>
      <w:r w:rsidR="00377BAB">
        <w:t>again, see para. 73.</w:t>
      </w:r>
    </w:p>
    <w:p w14:paraId="569D0FAC" w14:textId="60E9B17A" w:rsidR="00377BAB" w:rsidRPr="004866B3" w:rsidRDefault="00377BAB" w:rsidP="00972118">
      <w:pPr>
        <w:pStyle w:val="ParaLevel1"/>
        <w:numPr>
          <w:ilvl w:val="0"/>
          <w:numId w:val="0"/>
        </w:numPr>
        <w:ind w:left="1287" w:hanging="567"/>
        <w:rPr>
          <w:szCs w:val="24"/>
        </w:rPr>
      </w:pPr>
      <w:r>
        <w:t>(3)</w:t>
      </w:r>
      <w:r>
        <w:tab/>
      </w:r>
      <w:r w:rsidR="009D55C6">
        <w:t>Further</w:t>
      </w:r>
      <w:r w:rsidR="0028594F">
        <w:t xml:space="preserve">, it was clear that </w:t>
      </w:r>
      <w:r w:rsidR="009D55C6">
        <w:t xml:space="preserve">the GDC accepted the advice of the local authority about </w:t>
      </w:r>
      <w:r w:rsidR="005F56BD">
        <w:t>the need to have regard to TZB’s ethnicity and SEN status</w:t>
      </w:r>
      <w:r w:rsidR="009D55C6">
        <w:t xml:space="preserve">, which was set </w:t>
      </w:r>
      <w:r w:rsidR="001D439B">
        <w:t xml:space="preserve">out fully in the </w:t>
      </w:r>
      <w:r w:rsidR="00BD64AA">
        <w:t>minute</w:t>
      </w:r>
      <w:r w:rsidR="001D439B">
        <w:t xml:space="preserve"> of the initial meeting</w:t>
      </w:r>
      <w:r w:rsidR="009416F8">
        <w:t xml:space="preserve"> – see para. 74</w:t>
      </w:r>
      <w:r w:rsidR="001D439B">
        <w:t>.</w:t>
      </w:r>
    </w:p>
    <w:p w14:paraId="69DB00AB" w14:textId="3147ABB9" w:rsidR="00413678" w:rsidRPr="00413678" w:rsidRDefault="00413678" w:rsidP="00972118">
      <w:pPr>
        <w:pStyle w:val="ParaLevel1"/>
        <w:rPr>
          <w:szCs w:val="24"/>
        </w:rPr>
      </w:pPr>
      <w:r>
        <w:rPr>
          <w:szCs w:val="24"/>
        </w:rPr>
        <w:t xml:space="preserve">It </w:t>
      </w:r>
      <w:r w:rsidR="00691902">
        <w:rPr>
          <w:szCs w:val="24"/>
        </w:rPr>
        <w:t>was for those reasons that the Judge dismissed the PSED challenge.</w:t>
      </w:r>
    </w:p>
    <w:p w14:paraId="6E1EDC1F" w14:textId="7F37D13C" w:rsidR="00691902" w:rsidRPr="00413678" w:rsidRDefault="00691902" w:rsidP="00972118">
      <w:pPr>
        <w:pStyle w:val="ParaLevel1"/>
        <w:numPr>
          <w:ilvl w:val="0"/>
          <w:numId w:val="0"/>
        </w:numPr>
        <w:rPr>
          <w:szCs w:val="24"/>
          <w:u w:val="single"/>
        </w:rPr>
      </w:pPr>
      <w:r>
        <w:rPr>
          <w:szCs w:val="24"/>
          <w:u w:val="single"/>
        </w:rPr>
        <w:t xml:space="preserve">THE </w:t>
      </w:r>
      <w:r w:rsidR="00750AFF">
        <w:rPr>
          <w:szCs w:val="24"/>
          <w:u w:val="single"/>
        </w:rPr>
        <w:t>ISSUES</w:t>
      </w:r>
    </w:p>
    <w:p w14:paraId="7AE780E4" w14:textId="7C6E193C" w:rsidR="00691902" w:rsidRDefault="00116419" w:rsidP="00972118">
      <w:pPr>
        <w:pStyle w:val="ParaLevel1"/>
        <w:rPr>
          <w:szCs w:val="24"/>
        </w:rPr>
      </w:pPr>
      <w:r>
        <w:rPr>
          <w:szCs w:val="24"/>
        </w:rPr>
        <w:t>There are three grounds of appeal a</w:t>
      </w:r>
      <w:r w:rsidR="00DA7F1D">
        <w:rPr>
          <w:szCs w:val="24"/>
        </w:rPr>
        <w:t xml:space="preserve">s regards the </w:t>
      </w:r>
      <w:r w:rsidR="006376D7">
        <w:rPr>
          <w:szCs w:val="24"/>
        </w:rPr>
        <w:t xml:space="preserve">Judge’s decision on the </w:t>
      </w:r>
      <w:r w:rsidR="00DA7F1D">
        <w:rPr>
          <w:szCs w:val="24"/>
        </w:rPr>
        <w:t>PSED ground</w:t>
      </w:r>
      <w:r w:rsidR="00FE35F9">
        <w:rPr>
          <w:szCs w:val="24"/>
        </w:rPr>
        <w:t xml:space="preserve">.  They are </w:t>
      </w:r>
      <w:r w:rsidR="00AA7E2A">
        <w:rPr>
          <w:szCs w:val="24"/>
        </w:rPr>
        <w:t>pleaded fairly fully, but the headline grounds are as follows</w:t>
      </w:r>
      <w:r w:rsidR="0079448F">
        <w:rPr>
          <w:szCs w:val="24"/>
        </w:rPr>
        <w:t>:</w:t>
      </w:r>
    </w:p>
    <w:p w14:paraId="5B404051" w14:textId="015F75EC" w:rsidR="00D97D77" w:rsidRDefault="00D97D77" w:rsidP="00972118">
      <w:pPr>
        <w:pStyle w:val="ParaLevel1"/>
        <w:numPr>
          <w:ilvl w:val="0"/>
          <w:numId w:val="0"/>
        </w:numPr>
        <w:ind w:left="1287" w:hanging="567"/>
      </w:pPr>
      <w:r>
        <w:rPr>
          <w:szCs w:val="24"/>
        </w:rPr>
        <w:t>(1)</w:t>
      </w:r>
      <w:r w:rsidR="00657310">
        <w:rPr>
          <w:szCs w:val="24"/>
        </w:rPr>
        <w:tab/>
      </w:r>
      <w:r w:rsidR="00CA1BFA">
        <w:rPr>
          <w:szCs w:val="24"/>
        </w:rPr>
        <w:t>“</w:t>
      </w:r>
      <w:r w:rsidR="00657310">
        <w:t xml:space="preserve">The Judge erred in treating the Governing Body’s reliance on the existence of </w:t>
      </w:r>
      <w:r w:rsidR="00CA1BFA">
        <w:t>‘</w:t>
      </w:r>
      <w:r w:rsidR="00657310">
        <w:t>written evidence</w:t>
      </w:r>
      <w:r w:rsidR="00CA1BFA">
        <w:t>’</w:t>
      </w:r>
      <w:r w:rsidR="00657310">
        <w:t xml:space="preserve"> as immaterial</w:t>
      </w:r>
      <w:r w:rsidR="00BB1E2C">
        <w:t>.</w:t>
      </w:r>
      <w:r w:rsidR="00CA1BFA">
        <w:t>”</w:t>
      </w:r>
    </w:p>
    <w:p w14:paraId="3D7E8119" w14:textId="4399E9DC" w:rsidR="00BB1E2C" w:rsidRDefault="00BB1E2C" w:rsidP="00972118">
      <w:pPr>
        <w:pStyle w:val="ParaLevel1"/>
        <w:numPr>
          <w:ilvl w:val="0"/>
          <w:numId w:val="0"/>
        </w:numPr>
        <w:ind w:left="1287" w:hanging="567"/>
      </w:pPr>
      <w:r>
        <w:t>(2)</w:t>
      </w:r>
      <w:r>
        <w:tab/>
      </w:r>
      <w:r w:rsidR="00CA1BFA">
        <w:t>“</w:t>
      </w:r>
      <w:r>
        <w:t>The Judge erred in law in finding that the Public Sector Equality Duty had been properly applied</w:t>
      </w:r>
      <w:r w:rsidR="00FA749D">
        <w:t>.</w:t>
      </w:r>
      <w:r w:rsidR="00CA1BFA">
        <w:t>”</w:t>
      </w:r>
      <w:r w:rsidR="00976094">
        <w:t xml:space="preserve"> </w:t>
      </w:r>
    </w:p>
    <w:p w14:paraId="15D2E22B" w14:textId="07ABEFDD" w:rsidR="00BB1E2C" w:rsidRDefault="00BB1E2C" w:rsidP="00972118">
      <w:pPr>
        <w:pStyle w:val="ParaLevel1"/>
        <w:numPr>
          <w:ilvl w:val="0"/>
          <w:numId w:val="0"/>
        </w:numPr>
        <w:ind w:left="1287" w:hanging="567"/>
        <w:rPr>
          <w:szCs w:val="24"/>
        </w:rPr>
      </w:pPr>
      <w:r>
        <w:t>(3)</w:t>
      </w:r>
      <w:r>
        <w:tab/>
      </w:r>
      <w:r w:rsidR="00CA1BFA">
        <w:t>“</w:t>
      </w:r>
      <w:r>
        <w:t>Impermissible reliance on evidence not before the Governors</w:t>
      </w:r>
      <w:r w:rsidR="00BB2D55">
        <w:t>.</w:t>
      </w:r>
      <w:r w:rsidR="00CA1BFA">
        <w:t>”</w:t>
      </w:r>
    </w:p>
    <w:p w14:paraId="262573F2" w14:textId="439152EF" w:rsidR="00CD0B17" w:rsidRDefault="00CD0B17" w:rsidP="00972118">
      <w:pPr>
        <w:pStyle w:val="ParaLevel1"/>
        <w:rPr>
          <w:szCs w:val="24"/>
        </w:rPr>
      </w:pPr>
      <w:r>
        <w:rPr>
          <w:szCs w:val="24"/>
        </w:rPr>
        <w:t>The School filed a Respondent’s Notice seeking to uphold the Judge’s decision on the PSED ground on two alternative bases:</w:t>
      </w:r>
    </w:p>
    <w:p w14:paraId="7E17CBA1" w14:textId="6230CDDC" w:rsidR="00750AFF" w:rsidRDefault="008D01B2" w:rsidP="00972118">
      <w:pPr>
        <w:pStyle w:val="ParaLevel1"/>
        <w:numPr>
          <w:ilvl w:val="0"/>
          <w:numId w:val="0"/>
        </w:numPr>
        <w:ind w:left="1287" w:hanging="567"/>
        <w:rPr>
          <w:szCs w:val="24"/>
        </w:rPr>
      </w:pPr>
      <w:r>
        <w:rPr>
          <w:szCs w:val="24"/>
        </w:rPr>
        <w:t>(1)</w:t>
      </w:r>
      <w:r>
        <w:rPr>
          <w:szCs w:val="24"/>
        </w:rPr>
        <w:tab/>
      </w:r>
      <w:r w:rsidR="00CA1BFA">
        <w:rPr>
          <w:szCs w:val="24"/>
        </w:rPr>
        <w:t>“</w:t>
      </w:r>
      <w:r w:rsidR="001E7C07">
        <w:rPr>
          <w:szCs w:val="24"/>
        </w:rPr>
        <w:t xml:space="preserve">It was </w:t>
      </w:r>
      <w:r w:rsidR="001E7C07" w:rsidRPr="001E7C07">
        <w:rPr>
          <w:szCs w:val="24"/>
        </w:rPr>
        <w:t xml:space="preserve">sufficient to dispose of </w:t>
      </w:r>
      <w:r>
        <w:rPr>
          <w:szCs w:val="24"/>
        </w:rPr>
        <w:t>Ground 1 [that</w:t>
      </w:r>
      <w:r w:rsidR="001E7C07" w:rsidRPr="001E7C07">
        <w:rPr>
          <w:szCs w:val="24"/>
        </w:rPr>
        <w:t xml:space="preserve"> i</w:t>
      </w:r>
      <w:r w:rsidR="00CA1BFA">
        <w:rPr>
          <w:szCs w:val="24"/>
        </w:rPr>
        <w:t xml:space="preserve">s, </w:t>
      </w:r>
      <w:r w:rsidR="00B86E87">
        <w:rPr>
          <w:szCs w:val="24"/>
        </w:rPr>
        <w:t>the PSED ground of challenge] that</w:t>
      </w:r>
      <w:r w:rsidR="001E7C07" w:rsidRPr="001E7C07">
        <w:rPr>
          <w:szCs w:val="24"/>
        </w:rPr>
        <w:t xml:space="preserve"> the GDC </w:t>
      </w:r>
      <w:r w:rsidR="001E7C07" w:rsidRPr="00B86E87">
        <w:rPr>
          <w:szCs w:val="24"/>
          <w:u w:val="single"/>
        </w:rPr>
        <w:t>itself</w:t>
      </w:r>
      <w:r w:rsidR="001E7C07" w:rsidRPr="001E7C07">
        <w:rPr>
          <w:szCs w:val="24"/>
        </w:rPr>
        <w:t xml:space="preserve"> discharged the PS</w:t>
      </w:r>
      <w:r>
        <w:rPr>
          <w:szCs w:val="24"/>
        </w:rPr>
        <w:t>E</w:t>
      </w:r>
      <w:r w:rsidR="001E7C07" w:rsidRPr="001E7C07">
        <w:rPr>
          <w:szCs w:val="24"/>
        </w:rPr>
        <w:t>D, and it did so</w:t>
      </w:r>
      <w:r>
        <w:rPr>
          <w:szCs w:val="24"/>
        </w:rPr>
        <w:t>.</w:t>
      </w:r>
      <w:r w:rsidR="00C141C8">
        <w:rPr>
          <w:szCs w:val="24"/>
        </w:rPr>
        <w:t>”</w:t>
      </w:r>
      <w:r w:rsidR="00CD0B17">
        <w:rPr>
          <w:szCs w:val="24"/>
        </w:rPr>
        <w:t xml:space="preserve"> </w:t>
      </w:r>
    </w:p>
    <w:p w14:paraId="58B4925F" w14:textId="0443BF3D" w:rsidR="00B86E87" w:rsidRDefault="00B86E87" w:rsidP="00972118">
      <w:pPr>
        <w:pStyle w:val="ParaLevel1"/>
        <w:numPr>
          <w:ilvl w:val="0"/>
          <w:numId w:val="0"/>
        </w:numPr>
        <w:ind w:left="1287" w:hanging="567"/>
        <w:rPr>
          <w:szCs w:val="24"/>
        </w:rPr>
      </w:pPr>
      <w:r>
        <w:rPr>
          <w:szCs w:val="24"/>
        </w:rPr>
        <w:t>(2)</w:t>
      </w:r>
      <w:r>
        <w:rPr>
          <w:szCs w:val="24"/>
        </w:rPr>
        <w:tab/>
      </w:r>
      <w:r w:rsidR="00FE4E2A">
        <w:rPr>
          <w:szCs w:val="24"/>
        </w:rPr>
        <w:t>“</w:t>
      </w:r>
      <w:r w:rsidR="00896C80">
        <w:rPr>
          <w:szCs w:val="24"/>
        </w:rPr>
        <w:t>E</w:t>
      </w:r>
      <w:r w:rsidR="00F72124" w:rsidRPr="00F72124">
        <w:rPr>
          <w:szCs w:val="24"/>
        </w:rPr>
        <w:t xml:space="preserve">ven if, when making the </w:t>
      </w:r>
      <w:r w:rsidR="00896C80" w:rsidRPr="00F72124">
        <w:rPr>
          <w:szCs w:val="24"/>
        </w:rPr>
        <w:t>Reconsideration Decision</w:t>
      </w:r>
      <w:r w:rsidR="00F72124" w:rsidRPr="00F72124">
        <w:rPr>
          <w:szCs w:val="24"/>
        </w:rPr>
        <w:t xml:space="preserve">, the GDC had been required to find that the </w:t>
      </w:r>
      <w:r w:rsidR="00896C80">
        <w:rPr>
          <w:szCs w:val="24"/>
        </w:rPr>
        <w:t>H</w:t>
      </w:r>
      <w:r w:rsidR="00F72124" w:rsidRPr="00F72124">
        <w:rPr>
          <w:szCs w:val="24"/>
        </w:rPr>
        <w:t>eadteacher had breached the PS</w:t>
      </w:r>
      <w:r w:rsidR="00896C80">
        <w:rPr>
          <w:szCs w:val="24"/>
        </w:rPr>
        <w:t>E</w:t>
      </w:r>
      <w:r w:rsidR="00F72124" w:rsidRPr="00F72124">
        <w:rPr>
          <w:szCs w:val="24"/>
        </w:rPr>
        <w:t xml:space="preserve">D when making the </w:t>
      </w:r>
      <w:r w:rsidR="009B7CFE" w:rsidRPr="00F72124">
        <w:rPr>
          <w:szCs w:val="24"/>
        </w:rPr>
        <w:t>Exclusion Decision</w:t>
      </w:r>
      <w:r w:rsidR="00F72124" w:rsidRPr="00F72124">
        <w:rPr>
          <w:szCs w:val="24"/>
        </w:rPr>
        <w:t>, relief fel</w:t>
      </w:r>
      <w:r w:rsidR="003F40AE">
        <w:rPr>
          <w:szCs w:val="24"/>
        </w:rPr>
        <w:t>l</w:t>
      </w:r>
      <w:r w:rsidR="00F72124" w:rsidRPr="00F72124">
        <w:rPr>
          <w:szCs w:val="24"/>
        </w:rPr>
        <w:t xml:space="preserve"> to be refused</w:t>
      </w:r>
      <w:r w:rsidR="00896C80" w:rsidRPr="00896C80">
        <w:rPr>
          <w:szCs w:val="24"/>
        </w:rPr>
        <w:t xml:space="preserve"> under section 31 (</w:t>
      </w:r>
      <w:r w:rsidR="009B7CFE">
        <w:rPr>
          <w:szCs w:val="24"/>
        </w:rPr>
        <w:t>2A</w:t>
      </w:r>
      <w:r w:rsidR="00896C80" w:rsidRPr="00896C80">
        <w:rPr>
          <w:szCs w:val="24"/>
        </w:rPr>
        <w:t xml:space="preserve">) of the </w:t>
      </w:r>
      <w:r w:rsidR="003F40AE" w:rsidRPr="00896C80">
        <w:rPr>
          <w:szCs w:val="24"/>
        </w:rPr>
        <w:t xml:space="preserve">Senior Courts Act </w:t>
      </w:r>
      <w:r w:rsidR="00896C80" w:rsidRPr="00896C80">
        <w:rPr>
          <w:szCs w:val="24"/>
        </w:rPr>
        <w:t>1981</w:t>
      </w:r>
      <w:r w:rsidR="003F40AE">
        <w:rPr>
          <w:szCs w:val="24"/>
        </w:rPr>
        <w:t>”.</w:t>
      </w:r>
    </w:p>
    <w:p w14:paraId="45B2F67F" w14:textId="4127691A" w:rsidR="0063615A" w:rsidRDefault="002A7AB3" w:rsidP="00972118">
      <w:pPr>
        <w:pStyle w:val="ParaLevel1"/>
        <w:rPr>
          <w:szCs w:val="24"/>
        </w:rPr>
      </w:pPr>
      <w:r>
        <w:rPr>
          <w:szCs w:val="24"/>
        </w:rPr>
        <w:t xml:space="preserve">For reasons which will appear, it makes sense to </w:t>
      </w:r>
      <w:r w:rsidR="0063615A">
        <w:rPr>
          <w:szCs w:val="24"/>
        </w:rPr>
        <w:t xml:space="preserve">take </w:t>
      </w:r>
      <w:r w:rsidR="00B301F8">
        <w:rPr>
          <w:szCs w:val="24"/>
        </w:rPr>
        <w:t>t</w:t>
      </w:r>
      <w:r w:rsidR="0063615A">
        <w:rPr>
          <w:szCs w:val="24"/>
        </w:rPr>
        <w:t>he Respondent’s Notice first</w:t>
      </w:r>
      <w:r w:rsidR="0049724F">
        <w:rPr>
          <w:szCs w:val="24"/>
        </w:rPr>
        <w:t>.</w:t>
      </w:r>
    </w:p>
    <w:p w14:paraId="7DDCE8D9" w14:textId="29569624" w:rsidR="00B301F8" w:rsidRPr="00B301F8" w:rsidRDefault="00B301F8" w:rsidP="003D699D">
      <w:pPr>
        <w:pStyle w:val="ParaLevel1"/>
        <w:keepNext/>
        <w:numPr>
          <w:ilvl w:val="0"/>
          <w:numId w:val="0"/>
        </w:numPr>
        <w:rPr>
          <w:szCs w:val="24"/>
          <w:u w:val="single"/>
        </w:rPr>
      </w:pPr>
      <w:r>
        <w:rPr>
          <w:szCs w:val="24"/>
          <w:u w:val="single"/>
        </w:rPr>
        <w:t>The Respondent’s Notice</w:t>
      </w:r>
    </w:p>
    <w:p w14:paraId="48FCA774" w14:textId="6946639E" w:rsidR="00DE2866" w:rsidRPr="00DE2866" w:rsidRDefault="001173C5" w:rsidP="003D699D">
      <w:pPr>
        <w:pStyle w:val="ParaLevel1"/>
        <w:keepNext/>
        <w:rPr>
          <w:szCs w:val="24"/>
        </w:rPr>
      </w:pPr>
      <w:r>
        <w:rPr>
          <w:szCs w:val="24"/>
        </w:rPr>
        <w:t xml:space="preserve">The first of the alternative </w:t>
      </w:r>
      <w:r w:rsidR="00D674DF">
        <w:rPr>
          <w:szCs w:val="24"/>
        </w:rPr>
        <w:t>bases</w:t>
      </w:r>
      <w:r>
        <w:rPr>
          <w:szCs w:val="24"/>
        </w:rPr>
        <w:t xml:space="preserve"> relied on </w:t>
      </w:r>
      <w:r w:rsidR="00D674DF">
        <w:rPr>
          <w:szCs w:val="24"/>
        </w:rPr>
        <w:t>starts from the point</w:t>
      </w:r>
      <w:r w:rsidR="005543A2">
        <w:rPr>
          <w:szCs w:val="24"/>
        </w:rPr>
        <w:t xml:space="preserve"> </w:t>
      </w:r>
      <w:r w:rsidR="007E7E5F">
        <w:rPr>
          <w:szCs w:val="24"/>
        </w:rPr>
        <w:t xml:space="preserve">that the </w:t>
      </w:r>
      <w:r w:rsidR="00B72EC6">
        <w:rPr>
          <w:szCs w:val="24"/>
        </w:rPr>
        <w:t xml:space="preserve">foundation of </w:t>
      </w:r>
      <w:r w:rsidR="00491657">
        <w:rPr>
          <w:szCs w:val="24"/>
        </w:rPr>
        <w:t xml:space="preserve">this part of </w:t>
      </w:r>
      <w:r w:rsidR="00B72EC6">
        <w:rPr>
          <w:szCs w:val="24"/>
        </w:rPr>
        <w:t>the Claimant’s case</w:t>
      </w:r>
      <w:r w:rsidR="00D674DF">
        <w:rPr>
          <w:szCs w:val="24"/>
        </w:rPr>
        <w:t xml:space="preserve"> </w:t>
      </w:r>
      <w:r w:rsidR="00B72EC6">
        <w:rPr>
          <w:szCs w:val="24"/>
        </w:rPr>
        <w:t xml:space="preserve">is </w:t>
      </w:r>
      <w:r w:rsidR="00002D9C">
        <w:rPr>
          <w:szCs w:val="24"/>
        </w:rPr>
        <w:t xml:space="preserve">that the Headteacher erred in law by failing to have regard to the PSED </w:t>
      </w:r>
      <w:r w:rsidR="009A2D05">
        <w:rPr>
          <w:szCs w:val="24"/>
        </w:rPr>
        <w:t>when taking the original exclusion decision</w:t>
      </w:r>
      <w:r w:rsidR="00217D4F">
        <w:rPr>
          <w:szCs w:val="24"/>
        </w:rPr>
        <w:t xml:space="preserve">: the </w:t>
      </w:r>
      <w:r w:rsidR="00E76ED7">
        <w:rPr>
          <w:szCs w:val="24"/>
        </w:rPr>
        <w:t>challenge to the GDC’s decision is based on (and only on) its</w:t>
      </w:r>
      <w:r w:rsidR="00217D4F">
        <w:rPr>
          <w:szCs w:val="24"/>
        </w:rPr>
        <w:t xml:space="preserve"> fail</w:t>
      </w:r>
      <w:r w:rsidR="00E76ED7">
        <w:rPr>
          <w:szCs w:val="24"/>
        </w:rPr>
        <w:t>ure</w:t>
      </w:r>
      <w:r w:rsidR="00304DD4">
        <w:rPr>
          <w:szCs w:val="24"/>
        </w:rPr>
        <w:t xml:space="preserve"> to </w:t>
      </w:r>
      <w:r w:rsidR="007402BC">
        <w:rPr>
          <w:szCs w:val="24"/>
        </w:rPr>
        <w:t>find such</w:t>
      </w:r>
      <w:r w:rsidR="00304DD4">
        <w:rPr>
          <w:szCs w:val="24"/>
        </w:rPr>
        <w:t xml:space="preserve"> </w:t>
      </w:r>
      <w:r w:rsidR="007402BC">
        <w:rPr>
          <w:szCs w:val="24"/>
        </w:rPr>
        <w:t xml:space="preserve">an </w:t>
      </w:r>
      <w:r w:rsidR="007978BD">
        <w:rPr>
          <w:szCs w:val="24"/>
        </w:rPr>
        <w:t>error</w:t>
      </w:r>
      <w:r w:rsidR="007402BC">
        <w:rPr>
          <w:szCs w:val="24"/>
        </w:rPr>
        <w:t xml:space="preserve"> and to reinstate TZB accordingly</w:t>
      </w:r>
      <w:r w:rsidR="00304DD4">
        <w:rPr>
          <w:szCs w:val="24"/>
        </w:rPr>
        <w:t>.</w:t>
      </w:r>
      <w:r w:rsidR="00E76ED7">
        <w:rPr>
          <w:szCs w:val="24"/>
        </w:rPr>
        <w:t xml:space="preserve">  </w:t>
      </w:r>
      <w:r w:rsidR="0049724F">
        <w:rPr>
          <w:szCs w:val="24"/>
        </w:rPr>
        <w:t xml:space="preserve">Mr Cross </w:t>
      </w:r>
      <w:r w:rsidR="00E76ED7">
        <w:rPr>
          <w:szCs w:val="24"/>
        </w:rPr>
        <w:t>s</w:t>
      </w:r>
      <w:r w:rsidR="00C87B1B">
        <w:rPr>
          <w:szCs w:val="24"/>
        </w:rPr>
        <w:t>ubmits, h</w:t>
      </w:r>
      <w:r w:rsidR="00A8191B">
        <w:rPr>
          <w:szCs w:val="24"/>
        </w:rPr>
        <w:t xml:space="preserve">owever, that even if the Headteacher had made such an error </w:t>
      </w:r>
      <w:r w:rsidR="00CD3C96">
        <w:rPr>
          <w:szCs w:val="24"/>
        </w:rPr>
        <w:t>it does not follow that</w:t>
      </w:r>
      <w:r w:rsidR="005F6511">
        <w:rPr>
          <w:szCs w:val="24"/>
        </w:rPr>
        <w:t xml:space="preserve"> the GDC was obliged to reinstate</w:t>
      </w:r>
      <w:r w:rsidR="00D706C1">
        <w:rPr>
          <w:szCs w:val="24"/>
        </w:rPr>
        <w:t xml:space="preserve"> TZB</w:t>
      </w:r>
      <w:r w:rsidR="005F6511">
        <w:rPr>
          <w:szCs w:val="24"/>
        </w:rPr>
        <w:t xml:space="preserve">.  </w:t>
      </w:r>
      <w:r w:rsidR="00DB4127">
        <w:rPr>
          <w:szCs w:val="24"/>
        </w:rPr>
        <w:t xml:space="preserve">He </w:t>
      </w:r>
      <w:r w:rsidR="00B47B53">
        <w:rPr>
          <w:szCs w:val="24"/>
        </w:rPr>
        <w:t xml:space="preserve">referred us to </w:t>
      </w:r>
      <w:r w:rsidR="00A077C9">
        <w:rPr>
          <w:szCs w:val="24"/>
        </w:rPr>
        <w:t xml:space="preserve">the </w:t>
      </w:r>
      <w:r w:rsidR="00A956B5">
        <w:rPr>
          <w:szCs w:val="24"/>
        </w:rPr>
        <w:t>judgment of</w:t>
      </w:r>
      <w:r w:rsidR="0031271A">
        <w:rPr>
          <w:szCs w:val="24"/>
        </w:rPr>
        <w:t xml:space="preserve"> Sedley LJ in</w:t>
      </w:r>
      <w:r w:rsidR="00B43D4A" w:rsidRPr="000B78EF">
        <w:rPr>
          <w:szCs w:val="24"/>
        </w:rPr>
        <w:t xml:space="preserve"> </w:t>
      </w:r>
      <w:r w:rsidR="00B43D4A" w:rsidRPr="0045491D">
        <w:rPr>
          <w:i/>
          <w:iCs/>
        </w:rPr>
        <w:t xml:space="preserve">R v Governing Body </w:t>
      </w:r>
      <w:r w:rsidR="00B43D4A" w:rsidRPr="0045491D">
        <w:rPr>
          <w:rFonts w:asciiTheme="majorBidi" w:hAnsiTheme="majorBidi" w:cstheme="majorBidi"/>
          <w:i/>
          <w:iCs/>
          <w:szCs w:val="24"/>
        </w:rPr>
        <w:t>of Dunraven School</w:t>
      </w:r>
      <w:r w:rsidR="00B43D4A">
        <w:rPr>
          <w:rFonts w:asciiTheme="majorBidi" w:hAnsiTheme="majorBidi" w:cstheme="majorBidi"/>
          <w:i/>
          <w:iCs/>
          <w:szCs w:val="24"/>
        </w:rPr>
        <w:t>, ex p B</w:t>
      </w:r>
      <w:r w:rsidR="00B43D4A" w:rsidRPr="0045491D">
        <w:rPr>
          <w:rFonts w:asciiTheme="majorBidi" w:hAnsiTheme="majorBidi" w:cstheme="majorBidi"/>
          <w:i/>
          <w:iCs/>
          <w:szCs w:val="24"/>
        </w:rPr>
        <w:t xml:space="preserve"> </w:t>
      </w:r>
      <w:r w:rsidR="00B43D4A">
        <w:t>[2000] LGR 494</w:t>
      </w:r>
      <w:r w:rsidR="00A956B5">
        <w:t xml:space="preserve">.  </w:t>
      </w:r>
      <w:r w:rsidR="00987618">
        <w:t xml:space="preserve">One of the issues in that case was the role of the governors </w:t>
      </w:r>
      <w:r w:rsidR="00A61C5C">
        <w:t xml:space="preserve">in considering whether to reinstate an excluded pupil: the </w:t>
      </w:r>
      <w:r w:rsidR="00B82C45">
        <w:t xml:space="preserve">relevant legislation pre-dated the 2002 Act but was to substantially the same effect.  </w:t>
      </w:r>
      <w:r w:rsidR="00CD17D2">
        <w:t xml:space="preserve">At p. </w:t>
      </w:r>
      <w:r w:rsidR="00CD17D2" w:rsidRPr="00364E47">
        <w:rPr>
          <w:rFonts w:asciiTheme="majorBidi" w:hAnsiTheme="majorBidi" w:cstheme="majorBidi"/>
          <w:color w:val="1F1F1F"/>
          <w:szCs w:val="24"/>
          <w:shd w:val="clear" w:color="auto" w:fill="FFFFFF"/>
        </w:rPr>
        <w:t xml:space="preserve">498 </w:t>
      </w:r>
      <w:r w:rsidR="00CD17D2" w:rsidRPr="00364E47">
        <w:rPr>
          <w:rFonts w:asciiTheme="majorBidi" w:hAnsiTheme="majorBidi" w:cstheme="majorBidi"/>
          <w:i/>
          <w:iCs/>
          <w:color w:val="1F1F1F"/>
          <w:szCs w:val="24"/>
          <w:shd w:val="clear" w:color="auto" w:fill="FFFFFF"/>
        </w:rPr>
        <w:t>d-e</w:t>
      </w:r>
      <w:r w:rsidR="00D946FD">
        <w:rPr>
          <w:rFonts w:asciiTheme="majorBidi" w:hAnsiTheme="majorBidi" w:cstheme="majorBidi"/>
          <w:i/>
          <w:iCs/>
          <w:color w:val="1F1F1F"/>
          <w:szCs w:val="24"/>
          <w:shd w:val="clear" w:color="auto" w:fill="FFFFFF"/>
        </w:rPr>
        <w:t xml:space="preserve"> </w:t>
      </w:r>
      <w:r w:rsidR="00D946FD">
        <w:rPr>
          <w:rFonts w:asciiTheme="majorBidi" w:hAnsiTheme="majorBidi" w:cstheme="majorBidi"/>
          <w:color w:val="1F1F1F"/>
          <w:szCs w:val="24"/>
          <w:shd w:val="clear" w:color="auto" w:fill="FFFFFF"/>
        </w:rPr>
        <w:t>of his judgment, with which Morritt and Brooke LJJ agreed, Sedley LJ said</w:t>
      </w:r>
      <w:r w:rsidR="00DE2866">
        <w:rPr>
          <w:rFonts w:asciiTheme="majorBidi" w:hAnsiTheme="majorBidi" w:cstheme="majorBidi"/>
          <w:color w:val="1F1F1F"/>
          <w:szCs w:val="24"/>
          <w:shd w:val="clear" w:color="auto" w:fill="FFFFFF"/>
        </w:rPr>
        <w:t>:</w:t>
      </w:r>
    </w:p>
    <w:p w14:paraId="3B801848" w14:textId="77777777" w:rsidR="008E009B" w:rsidRPr="008E009B" w:rsidRDefault="008E009B" w:rsidP="00972118">
      <w:pPr>
        <w:pStyle w:val="ParaLevel1"/>
        <w:numPr>
          <w:ilvl w:val="0"/>
          <w:numId w:val="0"/>
        </w:numPr>
        <w:ind w:left="1418" w:right="793"/>
        <w:rPr>
          <w:szCs w:val="24"/>
        </w:rPr>
      </w:pPr>
      <w:r>
        <w:t>“[T]</w:t>
      </w:r>
      <w:r w:rsidR="00B43D4A" w:rsidRPr="00364E47">
        <w:rPr>
          <w:rFonts w:asciiTheme="majorBidi" w:hAnsiTheme="majorBidi" w:cstheme="majorBidi"/>
          <w:color w:val="1F1F1F"/>
          <w:szCs w:val="24"/>
          <w:shd w:val="clear" w:color="auto" w:fill="FFFFFF"/>
        </w:rPr>
        <w:t>he discipline committee of the governing body is not a tribunal of appeal from the head teacher but part of a single decision-making process within the school in which both play a role”</w:t>
      </w:r>
      <w:r>
        <w:rPr>
          <w:rFonts w:asciiTheme="majorBidi" w:hAnsiTheme="majorBidi" w:cstheme="majorBidi"/>
          <w:color w:val="1F1F1F"/>
          <w:szCs w:val="24"/>
          <w:shd w:val="clear" w:color="auto" w:fill="FFFFFF"/>
        </w:rPr>
        <w:t>.</w:t>
      </w:r>
    </w:p>
    <w:p w14:paraId="6FBF6948" w14:textId="77777777" w:rsidR="00DC3E71" w:rsidRDefault="008E009B" w:rsidP="00972118">
      <w:pPr>
        <w:pStyle w:val="ParaLevel1"/>
        <w:numPr>
          <w:ilvl w:val="0"/>
          <w:numId w:val="0"/>
        </w:numPr>
        <w:ind w:left="720"/>
        <w:rPr>
          <w:rFonts w:asciiTheme="majorBidi" w:hAnsiTheme="majorBidi" w:cstheme="majorBidi"/>
          <w:color w:val="1F1F1F"/>
          <w:szCs w:val="24"/>
          <w:shd w:val="clear" w:color="auto" w:fill="FFFFFF"/>
        </w:rPr>
      </w:pPr>
      <w:r>
        <w:rPr>
          <w:rFonts w:asciiTheme="majorBidi" w:hAnsiTheme="majorBidi" w:cstheme="majorBidi"/>
          <w:color w:val="1F1F1F"/>
          <w:szCs w:val="24"/>
          <w:shd w:val="clear" w:color="auto" w:fill="FFFFFF"/>
        </w:rPr>
        <w:t xml:space="preserve">He went </w:t>
      </w:r>
      <w:r w:rsidR="00485F68">
        <w:rPr>
          <w:rFonts w:asciiTheme="majorBidi" w:hAnsiTheme="majorBidi" w:cstheme="majorBidi"/>
          <w:color w:val="1F1F1F"/>
          <w:szCs w:val="24"/>
          <w:shd w:val="clear" w:color="auto" w:fill="FFFFFF"/>
        </w:rPr>
        <w:t xml:space="preserve">on to say, at p. 498 </w:t>
      </w:r>
      <w:r w:rsidR="00485F68">
        <w:rPr>
          <w:rFonts w:asciiTheme="majorBidi" w:hAnsiTheme="majorBidi" w:cstheme="majorBidi"/>
          <w:i/>
          <w:iCs/>
          <w:color w:val="1F1F1F"/>
          <w:szCs w:val="24"/>
          <w:shd w:val="clear" w:color="auto" w:fill="FFFFFF"/>
        </w:rPr>
        <w:t>a-c</w:t>
      </w:r>
      <w:r w:rsidR="00485F68">
        <w:rPr>
          <w:rFonts w:asciiTheme="majorBidi" w:hAnsiTheme="majorBidi" w:cstheme="majorBidi"/>
          <w:color w:val="1F1F1F"/>
          <w:szCs w:val="24"/>
          <w:shd w:val="clear" w:color="auto" w:fill="FFFFFF"/>
        </w:rPr>
        <w:t>,</w:t>
      </w:r>
      <w:r w:rsidR="00DC3E71">
        <w:rPr>
          <w:rFonts w:asciiTheme="majorBidi" w:hAnsiTheme="majorBidi" w:cstheme="majorBidi"/>
          <w:color w:val="1F1F1F"/>
          <w:szCs w:val="24"/>
          <w:shd w:val="clear" w:color="auto" w:fill="FFFFFF"/>
        </w:rPr>
        <w:t>:</w:t>
      </w:r>
    </w:p>
    <w:p w14:paraId="5C16F5CC" w14:textId="258401CA" w:rsidR="00DC3E71" w:rsidRPr="00DA5E78" w:rsidRDefault="00DA5E78" w:rsidP="00972118">
      <w:pPr>
        <w:pStyle w:val="ParaLevel1"/>
        <w:numPr>
          <w:ilvl w:val="0"/>
          <w:numId w:val="0"/>
        </w:numPr>
        <w:ind w:left="1418" w:right="793"/>
        <w:rPr>
          <w:rFonts w:asciiTheme="majorBidi" w:hAnsiTheme="majorBidi" w:cstheme="majorBidi"/>
          <w:color w:val="1F1F1F"/>
          <w:szCs w:val="24"/>
          <w:shd w:val="clear" w:color="auto" w:fill="FFFFFF"/>
        </w:rPr>
      </w:pPr>
      <w:r w:rsidRPr="00DA5E78">
        <w:rPr>
          <w:rFonts w:asciiTheme="majorBidi" w:hAnsiTheme="majorBidi" w:cstheme="majorBidi"/>
          <w:color w:val="1F1F1F"/>
          <w:szCs w:val="24"/>
          <w:shd w:val="clear" w:color="auto" w:fill="FFFFFF"/>
        </w:rPr>
        <w:t xml:space="preserve">“I </w:t>
      </w:r>
      <w:r w:rsidR="00DC3E71" w:rsidRPr="00DA5E78">
        <w:rPr>
          <w:rFonts w:asciiTheme="majorBidi" w:hAnsiTheme="majorBidi" w:cstheme="majorBidi"/>
          <w:color w:val="1F1F1F"/>
          <w:szCs w:val="24"/>
          <w:shd w:val="clear" w:color="auto" w:fill="FFFFFF"/>
        </w:rPr>
        <w:t xml:space="preserve">would therefore reject </w:t>
      </w:r>
      <w:r w:rsidRPr="00DA5E78">
        <w:rPr>
          <w:rFonts w:asciiTheme="majorBidi" w:hAnsiTheme="majorBidi" w:cstheme="majorBidi"/>
          <w:color w:val="1F1F1F"/>
          <w:szCs w:val="24"/>
          <w:shd w:val="clear" w:color="auto" w:fill="FFFFFF"/>
        </w:rPr>
        <w:t>[the]</w:t>
      </w:r>
      <w:r w:rsidR="00DC3E71" w:rsidRPr="00DA5E78">
        <w:rPr>
          <w:rFonts w:asciiTheme="majorBidi" w:hAnsiTheme="majorBidi" w:cstheme="majorBidi"/>
          <w:color w:val="1F1F1F"/>
          <w:szCs w:val="24"/>
          <w:shd w:val="clear" w:color="auto" w:fill="FFFFFF"/>
        </w:rPr>
        <w:t xml:space="preserve"> submission </w:t>
      </w:r>
      <w:r w:rsidRPr="00DA5E78">
        <w:rPr>
          <w:rFonts w:asciiTheme="majorBidi" w:hAnsiTheme="majorBidi" w:cstheme="majorBidi"/>
          <w:color w:val="1F1F1F"/>
          <w:szCs w:val="24"/>
          <w:shd w:val="clear" w:color="auto" w:fill="FFFFFF"/>
        </w:rPr>
        <w:t xml:space="preserve">[of counsel for the school] </w:t>
      </w:r>
      <w:r w:rsidR="00DC3E71" w:rsidRPr="00DA5E78">
        <w:rPr>
          <w:rFonts w:asciiTheme="majorBidi" w:hAnsiTheme="majorBidi" w:cstheme="majorBidi"/>
          <w:color w:val="1F1F1F"/>
          <w:szCs w:val="24"/>
          <w:shd w:val="clear" w:color="auto" w:fill="FFFFFF"/>
        </w:rPr>
        <w:t>that the governors</w:t>
      </w:r>
      <w:r w:rsidR="00790196">
        <w:rPr>
          <w:rFonts w:asciiTheme="majorBidi" w:hAnsiTheme="majorBidi" w:cstheme="majorBidi"/>
          <w:color w:val="1F1F1F"/>
          <w:szCs w:val="24"/>
          <w:shd w:val="clear" w:color="auto" w:fill="FFFFFF"/>
        </w:rPr>
        <w:t xml:space="preserve">’ </w:t>
      </w:r>
      <w:r w:rsidR="00DC3E71" w:rsidRPr="00DA5E78">
        <w:rPr>
          <w:rFonts w:asciiTheme="majorBidi" w:hAnsiTheme="majorBidi" w:cstheme="majorBidi"/>
          <w:color w:val="1F1F1F"/>
          <w:szCs w:val="24"/>
          <w:shd w:val="clear" w:color="auto" w:fill="FFFFFF"/>
        </w:rPr>
        <w:t xml:space="preserve">only duty was to decide whether the head teacher had acted reasonably. In our view it was their duty to establish to their own satisfaction what the primary facts were </w:t>
      </w:r>
      <w:r w:rsidR="00A5463C">
        <w:rPr>
          <w:rFonts w:asciiTheme="majorBidi" w:hAnsiTheme="majorBidi" w:cstheme="majorBidi"/>
          <w:color w:val="1F1F1F"/>
          <w:szCs w:val="24"/>
          <w:shd w:val="clear" w:color="auto" w:fill="FFFFFF"/>
        </w:rPr>
        <w:t xml:space="preserve">– </w:t>
      </w:r>
      <w:r w:rsidR="00DC3E71" w:rsidRPr="00DA5E78">
        <w:rPr>
          <w:rFonts w:asciiTheme="majorBidi" w:hAnsiTheme="majorBidi" w:cstheme="majorBidi"/>
          <w:color w:val="1F1F1F"/>
          <w:szCs w:val="24"/>
          <w:shd w:val="clear" w:color="auto" w:fill="FFFFFF"/>
        </w:rPr>
        <w:t>as in fact they did. In doing so they were entitled to start from the head teacher's findings. For his part, the head teacher was entitled to reach what was in practice, and arguably too in law, a provisional decision in the way he did precisely because it had to be fully and fairly reviewed by the governors. It was the governing body which then had to afford a fair hearing.</w:t>
      </w:r>
      <w:r w:rsidRPr="00DA5E78">
        <w:rPr>
          <w:rFonts w:asciiTheme="majorBidi" w:hAnsiTheme="majorBidi" w:cstheme="majorBidi"/>
          <w:color w:val="1F1F1F"/>
          <w:szCs w:val="24"/>
          <w:shd w:val="clear" w:color="auto" w:fill="FFFFFF"/>
        </w:rPr>
        <w:t>”</w:t>
      </w:r>
    </w:p>
    <w:p w14:paraId="084B72E1" w14:textId="4FE2C430" w:rsidR="00E74D80" w:rsidRDefault="00073F06" w:rsidP="00972118">
      <w:pPr>
        <w:pStyle w:val="ParaLevel1"/>
        <w:numPr>
          <w:ilvl w:val="0"/>
          <w:numId w:val="0"/>
        </w:numPr>
        <w:ind w:left="720"/>
        <w:rPr>
          <w:rFonts w:asciiTheme="majorBidi" w:hAnsiTheme="majorBidi" w:cstheme="majorBidi"/>
          <w:color w:val="1F1F1F"/>
          <w:szCs w:val="24"/>
          <w:shd w:val="clear" w:color="auto" w:fill="FFFFFF"/>
        </w:rPr>
      </w:pPr>
      <w:r>
        <w:rPr>
          <w:rFonts w:asciiTheme="majorBidi" w:hAnsiTheme="majorBidi" w:cstheme="majorBidi"/>
          <w:color w:val="1F1F1F"/>
          <w:szCs w:val="24"/>
          <w:shd w:val="clear" w:color="auto" w:fill="FFFFFF"/>
        </w:rPr>
        <w:t xml:space="preserve">Mr Cross submitted that it followed that the GDC was not required, as such, to make a finding as to whether </w:t>
      </w:r>
      <w:r w:rsidR="005D3B8B">
        <w:rPr>
          <w:rFonts w:asciiTheme="majorBidi" w:hAnsiTheme="majorBidi" w:cstheme="majorBidi"/>
          <w:color w:val="1F1F1F"/>
          <w:szCs w:val="24"/>
          <w:shd w:val="clear" w:color="auto" w:fill="FFFFFF"/>
        </w:rPr>
        <w:t>the Headteacher had breached the PSED</w:t>
      </w:r>
      <w:r w:rsidR="00675F04">
        <w:rPr>
          <w:rFonts w:asciiTheme="majorBidi" w:hAnsiTheme="majorBidi" w:cstheme="majorBidi"/>
          <w:color w:val="1F1F1F"/>
          <w:szCs w:val="24"/>
          <w:shd w:val="clear" w:color="auto" w:fill="FFFFFF"/>
        </w:rPr>
        <w:t xml:space="preserve">.  </w:t>
      </w:r>
      <w:r w:rsidR="00A843C3">
        <w:rPr>
          <w:rFonts w:asciiTheme="majorBidi" w:hAnsiTheme="majorBidi" w:cstheme="majorBidi"/>
          <w:color w:val="1F1F1F"/>
          <w:szCs w:val="24"/>
          <w:shd w:val="clear" w:color="auto" w:fill="FFFFFF"/>
        </w:rPr>
        <w:t>No doubt it w</w:t>
      </w:r>
      <w:r w:rsidR="00C41591">
        <w:rPr>
          <w:rFonts w:asciiTheme="majorBidi" w:hAnsiTheme="majorBidi" w:cstheme="majorBidi"/>
          <w:color w:val="1F1F1F"/>
          <w:szCs w:val="24"/>
          <w:shd w:val="clear" w:color="auto" w:fill="FFFFFF"/>
        </w:rPr>
        <w:t xml:space="preserve">ould need to review her findings and reasoning, but the </w:t>
      </w:r>
      <w:r w:rsidR="00A843C3">
        <w:rPr>
          <w:rFonts w:asciiTheme="majorBidi" w:hAnsiTheme="majorBidi" w:cstheme="majorBidi"/>
          <w:color w:val="1F1F1F"/>
          <w:szCs w:val="24"/>
          <w:shd w:val="clear" w:color="auto" w:fill="FFFFFF"/>
        </w:rPr>
        <w:t xml:space="preserve">only decision that it was obliged to make was </w:t>
      </w:r>
      <w:r w:rsidR="00E12413">
        <w:rPr>
          <w:rFonts w:asciiTheme="majorBidi" w:hAnsiTheme="majorBidi" w:cstheme="majorBidi"/>
          <w:color w:val="1F1F1F"/>
          <w:szCs w:val="24"/>
          <w:shd w:val="clear" w:color="auto" w:fill="FFFFFF"/>
        </w:rPr>
        <w:t>its own decision</w:t>
      </w:r>
      <w:r w:rsidR="00910BF6">
        <w:rPr>
          <w:rFonts w:asciiTheme="majorBidi" w:hAnsiTheme="majorBidi" w:cstheme="majorBidi"/>
          <w:color w:val="1F1F1F"/>
          <w:szCs w:val="24"/>
          <w:shd w:val="clear" w:color="auto" w:fill="FFFFFF"/>
        </w:rPr>
        <w:t xml:space="preserve">, based </w:t>
      </w:r>
      <w:r w:rsidR="00435954">
        <w:rPr>
          <w:rFonts w:asciiTheme="majorBidi" w:hAnsiTheme="majorBidi" w:cstheme="majorBidi"/>
          <w:color w:val="1F1F1F"/>
          <w:szCs w:val="24"/>
          <w:shd w:val="clear" w:color="auto" w:fill="FFFFFF"/>
        </w:rPr>
        <w:t>on</w:t>
      </w:r>
      <w:r w:rsidR="00910BF6">
        <w:rPr>
          <w:rFonts w:asciiTheme="majorBidi" w:hAnsiTheme="majorBidi" w:cstheme="majorBidi"/>
          <w:color w:val="1F1F1F"/>
          <w:szCs w:val="24"/>
          <w:shd w:val="clear" w:color="auto" w:fill="FFFFFF"/>
        </w:rPr>
        <w:t xml:space="preserve"> its own findings and reasoning,</w:t>
      </w:r>
      <w:r w:rsidR="00E12413">
        <w:rPr>
          <w:rFonts w:asciiTheme="majorBidi" w:hAnsiTheme="majorBidi" w:cstheme="majorBidi"/>
          <w:color w:val="1F1F1F"/>
          <w:szCs w:val="24"/>
          <w:shd w:val="clear" w:color="auto" w:fill="FFFFFF"/>
        </w:rPr>
        <w:t xml:space="preserve"> as to whether </w:t>
      </w:r>
      <w:r w:rsidR="00910BF6">
        <w:rPr>
          <w:rFonts w:asciiTheme="majorBidi" w:hAnsiTheme="majorBidi" w:cstheme="majorBidi"/>
          <w:color w:val="1F1F1F"/>
          <w:szCs w:val="24"/>
          <w:shd w:val="clear" w:color="auto" w:fill="FFFFFF"/>
        </w:rPr>
        <w:t>TZB should be</w:t>
      </w:r>
      <w:r w:rsidR="00E12413">
        <w:rPr>
          <w:rFonts w:asciiTheme="majorBidi" w:hAnsiTheme="majorBidi" w:cstheme="majorBidi"/>
          <w:color w:val="1F1F1F"/>
          <w:szCs w:val="24"/>
          <w:shd w:val="clear" w:color="auto" w:fill="FFFFFF"/>
        </w:rPr>
        <w:t xml:space="preserve"> reinstate</w:t>
      </w:r>
      <w:r w:rsidR="00910BF6">
        <w:rPr>
          <w:rFonts w:asciiTheme="majorBidi" w:hAnsiTheme="majorBidi" w:cstheme="majorBidi"/>
          <w:color w:val="1F1F1F"/>
          <w:szCs w:val="24"/>
          <w:shd w:val="clear" w:color="auto" w:fill="FFFFFF"/>
        </w:rPr>
        <w:t>d</w:t>
      </w:r>
      <w:r w:rsidR="00E12413">
        <w:rPr>
          <w:rFonts w:asciiTheme="majorBidi" w:hAnsiTheme="majorBidi" w:cstheme="majorBidi"/>
          <w:color w:val="1F1F1F"/>
          <w:szCs w:val="24"/>
          <w:shd w:val="clear" w:color="auto" w:fill="FFFFFF"/>
        </w:rPr>
        <w:t>.</w:t>
      </w:r>
      <w:r w:rsidR="00A843C3">
        <w:rPr>
          <w:rFonts w:asciiTheme="majorBidi" w:hAnsiTheme="majorBidi" w:cstheme="majorBidi"/>
          <w:color w:val="1F1F1F"/>
          <w:szCs w:val="24"/>
          <w:shd w:val="clear" w:color="auto" w:fill="FFFFFF"/>
        </w:rPr>
        <w:t xml:space="preserve"> </w:t>
      </w:r>
      <w:r w:rsidR="005D3B8B">
        <w:rPr>
          <w:rFonts w:asciiTheme="majorBidi" w:hAnsiTheme="majorBidi" w:cstheme="majorBidi"/>
          <w:color w:val="1F1F1F"/>
          <w:szCs w:val="24"/>
          <w:shd w:val="clear" w:color="auto" w:fill="FFFFFF"/>
        </w:rPr>
        <w:t xml:space="preserve"> </w:t>
      </w:r>
      <w:r w:rsidR="00135E49">
        <w:rPr>
          <w:rFonts w:asciiTheme="majorBidi" w:hAnsiTheme="majorBidi" w:cstheme="majorBidi"/>
          <w:color w:val="1F1F1F"/>
          <w:szCs w:val="24"/>
          <w:shd w:val="clear" w:color="auto" w:fill="FFFFFF"/>
        </w:rPr>
        <w:t xml:space="preserve"> </w:t>
      </w:r>
    </w:p>
    <w:p w14:paraId="6E0EB80E" w14:textId="57D31A60" w:rsidR="00B2422F" w:rsidRPr="00BA1548" w:rsidRDefault="00CE7FB8" w:rsidP="00972118">
      <w:pPr>
        <w:pStyle w:val="ParaLevel1"/>
        <w:rPr>
          <w:szCs w:val="24"/>
        </w:rPr>
      </w:pPr>
      <w:r>
        <w:rPr>
          <w:szCs w:val="24"/>
        </w:rPr>
        <w:t xml:space="preserve">On that basis, Mr Cross </w:t>
      </w:r>
      <w:r w:rsidRPr="00CE7FB8">
        <w:rPr>
          <w:shd w:val="clear" w:color="auto" w:fill="FFFFFF"/>
        </w:rPr>
        <w:t xml:space="preserve">submitted that it was quite clear from the minutes that the GDC </w:t>
      </w:r>
      <w:r>
        <w:rPr>
          <w:shd w:val="clear" w:color="auto" w:fill="FFFFFF"/>
        </w:rPr>
        <w:t xml:space="preserve">itself was </w:t>
      </w:r>
      <w:r w:rsidRPr="00CE7FB8">
        <w:rPr>
          <w:shd w:val="clear" w:color="auto" w:fill="FFFFFF"/>
        </w:rPr>
        <w:t xml:space="preserve">aware of its duties under the PSED, and specifically of the over-representation issue, to which both KM and the local authority representative had drawn attention, and had had regard to them; and that since that was so it was immaterial if (which he did not accept) the Headteacher had not done so. </w:t>
      </w:r>
      <w:r w:rsidR="009F2360" w:rsidRPr="00BA1548">
        <w:rPr>
          <w:szCs w:val="24"/>
        </w:rPr>
        <w:t xml:space="preserve"> </w:t>
      </w:r>
    </w:p>
    <w:p w14:paraId="6421105C" w14:textId="471A5246" w:rsidR="004D0C23" w:rsidRPr="004D0C23" w:rsidRDefault="00834942" w:rsidP="00972118">
      <w:pPr>
        <w:pStyle w:val="ParaLevel1"/>
        <w:rPr>
          <w:szCs w:val="24"/>
        </w:rPr>
      </w:pPr>
      <w:r w:rsidRPr="003E37F4">
        <w:rPr>
          <w:szCs w:val="24"/>
        </w:rPr>
        <w:t>Ms Harrison</w:t>
      </w:r>
      <w:r w:rsidR="00C73C65" w:rsidRPr="003E37F4">
        <w:rPr>
          <w:szCs w:val="24"/>
        </w:rPr>
        <w:t xml:space="preserve">’s first submission in response was </w:t>
      </w:r>
      <w:r w:rsidR="00435954">
        <w:rPr>
          <w:szCs w:val="24"/>
        </w:rPr>
        <w:t xml:space="preserve">that </w:t>
      </w:r>
      <w:r w:rsidR="00C73C65" w:rsidRPr="003E37F4">
        <w:rPr>
          <w:szCs w:val="24"/>
        </w:rPr>
        <w:t>the fact that</w:t>
      </w:r>
      <w:r w:rsidR="00435954">
        <w:rPr>
          <w:szCs w:val="24"/>
        </w:rPr>
        <w:t xml:space="preserve"> </w:t>
      </w:r>
      <w:r w:rsidR="002C6DE8" w:rsidRPr="003E37F4">
        <w:rPr>
          <w:szCs w:val="24"/>
        </w:rPr>
        <w:t xml:space="preserve">the decisions of the Headteacher and the GDC were to be regarded in law as part of a single process </w:t>
      </w:r>
      <w:r w:rsidR="00D82909" w:rsidRPr="003E37F4">
        <w:rPr>
          <w:szCs w:val="24"/>
        </w:rPr>
        <w:t xml:space="preserve">did not mean that a legal error by the </w:t>
      </w:r>
      <w:r w:rsidR="00004BC1" w:rsidRPr="003E37F4">
        <w:rPr>
          <w:szCs w:val="24"/>
        </w:rPr>
        <w:t>Headteacher</w:t>
      </w:r>
      <w:r w:rsidR="00D82909" w:rsidRPr="003E37F4">
        <w:rPr>
          <w:szCs w:val="24"/>
        </w:rPr>
        <w:t xml:space="preserve"> at the first stage </w:t>
      </w:r>
      <w:r w:rsidR="00004BC1" w:rsidRPr="003E37F4">
        <w:rPr>
          <w:szCs w:val="24"/>
        </w:rPr>
        <w:t>could</w:t>
      </w:r>
      <w:r w:rsidR="00D82909" w:rsidRPr="003E37F4">
        <w:rPr>
          <w:szCs w:val="24"/>
        </w:rPr>
        <w:t xml:space="preserve"> be </w:t>
      </w:r>
      <w:r w:rsidR="00004BC1" w:rsidRPr="003E37F4">
        <w:rPr>
          <w:szCs w:val="24"/>
        </w:rPr>
        <w:t xml:space="preserve">cured by proper consideration at the second.  </w:t>
      </w:r>
      <w:r w:rsidR="004E0EAF" w:rsidRPr="003E37F4">
        <w:rPr>
          <w:szCs w:val="24"/>
        </w:rPr>
        <w:t xml:space="preserve">Para. 71 of the Guidance requires the </w:t>
      </w:r>
      <w:r w:rsidR="00616A3A">
        <w:rPr>
          <w:szCs w:val="24"/>
        </w:rPr>
        <w:t>g</w:t>
      </w:r>
      <w:r w:rsidR="003E37F4" w:rsidRPr="003E37F4">
        <w:rPr>
          <w:szCs w:val="24"/>
        </w:rPr>
        <w:t xml:space="preserve">overnors to consider </w:t>
      </w:r>
      <w:r w:rsidR="003E37F4">
        <w:rPr>
          <w:szCs w:val="24"/>
        </w:rPr>
        <w:t>“</w:t>
      </w:r>
      <w:r w:rsidR="004E0EAF" w:rsidRPr="00EB0F18">
        <w:rPr>
          <w:lang w:eastAsia="en-GB"/>
        </w:rPr>
        <w:t xml:space="preserve">whether </w:t>
      </w:r>
      <w:r w:rsidR="003E37F4">
        <w:rPr>
          <w:lang w:eastAsia="en-GB"/>
        </w:rPr>
        <w:t>[</w:t>
      </w:r>
      <w:r w:rsidR="004E0EAF" w:rsidRPr="00EB0F18">
        <w:rPr>
          <w:lang w:eastAsia="en-GB"/>
        </w:rPr>
        <w:t xml:space="preserve">the </w:t>
      </w:r>
      <w:r w:rsidR="003E37F4">
        <w:rPr>
          <w:lang w:eastAsia="en-GB"/>
        </w:rPr>
        <w:t>headteacher</w:t>
      </w:r>
      <w:r w:rsidR="006F676D">
        <w:rPr>
          <w:lang w:eastAsia="en-GB"/>
        </w:rPr>
        <w:t xml:space="preserve">’s] </w:t>
      </w:r>
      <w:r w:rsidR="004E0EAF" w:rsidRPr="00EB0F18">
        <w:rPr>
          <w:lang w:eastAsia="en-GB"/>
        </w:rPr>
        <w:t>decision to exclude the pupil was lawful, reasonable and procedurally fair</w:t>
      </w:r>
      <w:r w:rsidR="006F676D">
        <w:rPr>
          <w:lang w:eastAsia="en-GB"/>
        </w:rPr>
        <w:t>”, and the GDC had indeed at the start of the</w:t>
      </w:r>
      <w:r w:rsidR="009E48A5">
        <w:rPr>
          <w:lang w:eastAsia="en-GB"/>
        </w:rPr>
        <w:t xml:space="preserve"> first meeting</w:t>
      </w:r>
      <w:r w:rsidR="009D540E">
        <w:rPr>
          <w:lang w:eastAsia="en-GB"/>
        </w:rPr>
        <w:t xml:space="preserve"> </w:t>
      </w:r>
      <w:r w:rsidR="00511DCD">
        <w:rPr>
          <w:lang w:eastAsia="en-GB"/>
        </w:rPr>
        <w:t>identified</w:t>
      </w:r>
      <w:r w:rsidR="009D540E">
        <w:rPr>
          <w:lang w:eastAsia="en-GB"/>
        </w:rPr>
        <w:t xml:space="preserve"> that as the first question that </w:t>
      </w:r>
      <w:r w:rsidR="00435954">
        <w:rPr>
          <w:lang w:eastAsia="en-GB"/>
        </w:rPr>
        <w:t>it</w:t>
      </w:r>
      <w:r w:rsidR="009D540E">
        <w:rPr>
          <w:lang w:eastAsia="en-GB"/>
        </w:rPr>
        <w:t xml:space="preserve"> had to </w:t>
      </w:r>
      <w:r w:rsidR="00511DCD">
        <w:rPr>
          <w:lang w:eastAsia="en-GB"/>
        </w:rPr>
        <w:t>consider.</w:t>
      </w:r>
      <w:r w:rsidR="00314395">
        <w:rPr>
          <w:lang w:eastAsia="en-GB"/>
        </w:rPr>
        <w:t xml:space="preserve">  I</w:t>
      </w:r>
      <w:r w:rsidR="00300732">
        <w:rPr>
          <w:lang w:eastAsia="en-GB"/>
        </w:rPr>
        <w:t xml:space="preserve">f </w:t>
      </w:r>
      <w:r w:rsidR="00435954">
        <w:rPr>
          <w:lang w:eastAsia="en-GB"/>
        </w:rPr>
        <w:t>it</w:t>
      </w:r>
      <w:r w:rsidR="00300732">
        <w:rPr>
          <w:lang w:eastAsia="en-GB"/>
        </w:rPr>
        <w:t xml:space="preserve"> found that the Headte</w:t>
      </w:r>
      <w:r w:rsidR="00CE793F">
        <w:rPr>
          <w:lang w:eastAsia="en-GB"/>
        </w:rPr>
        <w:t>a</w:t>
      </w:r>
      <w:r w:rsidR="00300732">
        <w:rPr>
          <w:lang w:eastAsia="en-GB"/>
        </w:rPr>
        <w:t xml:space="preserve">cher had acted unlawfully by failing to </w:t>
      </w:r>
      <w:r w:rsidR="00F47993">
        <w:rPr>
          <w:lang w:eastAsia="en-GB"/>
        </w:rPr>
        <w:t xml:space="preserve">have regard to the PSED </w:t>
      </w:r>
      <w:r w:rsidR="003D699D">
        <w:rPr>
          <w:lang w:eastAsia="en-GB"/>
        </w:rPr>
        <w:t>it was</w:t>
      </w:r>
      <w:r w:rsidR="00F47993">
        <w:rPr>
          <w:lang w:eastAsia="en-GB"/>
        </w:rPr>
        <w:t xml:space="preserve"> obliged to reinstate.  </w:t>
      </w:r>
      <w:r w:rsidR="00781D5D">
        <w:rPr>
          <w:lang w:eastAsia="en-GB"/>
        </w:rPr>
        <w:t xml:space="preserve">Any other </w:t>
      </w:r>
      <w:r w:rsidR="004D0C23">
        <w:rPr>
          <w:lang w:eastAsia="en-GB"/>
        </w:rPr>
        <w:t>approach</w:t>
      </w:r>
      <w:r w:rsidR="00781D5D">
        <w:rPr>
          <w:lang w:eastAsia="en-GB"/>
        </w:rPr>
        <w:t xml:space="preserve"> would </w:t>
      </w:r>
      <w:r w:rsidR="004D0C23">
        <w:rPr>
          <w:lang w:eastAsia="en-GB"/>
        </w:rPr>
        <w:t>deprive</w:t>
      </w:r>
      <w:r w:rsidR="00781D5D">
        <w:rPr>
          <w:lang w:eastAsia="en-GB"/>
        </w:rPr>
        <w:t xml:space="preserve"> the duty on the Headteacher of any real content </w:t>
      </w:r>
      <w:r w:rsidR="004D0C23">
        <w:rPr>
          <w:lang w:eastAsia="en-GB"/>
        </w:rPr>
        <w:t>and would be contrary to what Parliament intended.</w:t>
      </w:r>
    </w:p>
    <w:p w14:paraId="6F0ADCD1" w14:textId="3978309A" w:rsidR="003D580E" w:rsidRPr="003D580E" w:rsidRDefault="004D0C23" w:rsidP="00972118">
      <w:pPr>
        <w:pStyle w:val="ParaLevel1"/>
        <w:rPr>
          <w:szCs w:val="24"/>
        </w:rPr>
      </w:pPr>
      <w:r>
        <w:rPr>
          <w:lang w:eastAsia="en-GB"/>
        </w:rPr>
        <w:t>I do not accept that submission.</w:t>
      </w:r>
      <w:r w:rsidR="00352759">
        <w:rPr>
          <w:lang w:eastAsia="en-GB"/>
        </w:rPr>
        <w:t xml:space="preserve">  </w:t>
      </w:r>
      <w:r w:rsidR="00707345">
        <w:rPr>
          <w:lang w:eastAsia="en-GB"/>
        </w:rPr>
        <w:t xml:space="preserve">The whole </w:t>
      </w:r>
      <w:r w:rsidR="0089175B">
        <w:rPr>
          <w:lang w:eastAsia="en-GB"/>
        </w:rPr>
        <w:t>object</w:t>
      </w:r>
      <w:r w:rsidR="00707345">
        <w:rPr>
          <w:lang w:eastAsia="en-GB"/>
        </w:rPr>
        <w:t xml:space="preserve"> of the </w:t>
      </w:r>
      <w:r w:rsidR="00480895">
        <w:rPr>
          <w:lang w:eastAsia="en-GB"/>
        </w:rPr>
        <w:t xml:space="preserve">procedure required by regulation 24 is to ensure that the governors are </w:t>
      </w:r>
      <w:r w:rsidR="0089175B">
        <w:rPr>
          <w:lang w:eastAsia="en-GB"/>
        </w:rPr>
        <w:t xml:space="preserve">in a position to make for themselves the ultimate decision as to whether exclusion is required.  </w:t>
      </w:r>
      <w:r w:rsidR="00B5648D">
        <w:rPr>
          <w:lang w:eastAsia="en-GB"/>
        </w:rPr>
        <w:t xml:space="preserve">The provision for a meeting </w:t>
      </w:r>
      <w:r w:rsidR="00CE08BB">
        <w:rPr>
          <w:lang w:eastAsia="en-GB"/>
        </w:rPr>
        <w:t>and for representations by all the interested parties, including the local authority, mean</w:t>
      </w:r>
      <w:r w:rsidR="00390E4C">
        <w:rPr>
          <w:lang w:eastAsia="en-GB"/>
        </w:rPr>
        <w:t>s</w:t>
      </w:r>
      <w:r w:rsidR="00CE08BB">
        <w:rPr>
          <w:lang w:eastAsia="en-GB"/>
        </w:rPr>
        <w:t xml:space="preserve"> that they will almost certainly be in a better position than the headteacher </w:t>
      </w:r>
      <w:r w:rsidR="00303F93">
        <w:rPr>
          <w:lang w:eastAsia="en-GB"/>
        </w:rPr>
        <w:t>t</w:t>
      </w:r>
      <w:r w:rsidR="006246C2">
        <w:rPr>
          <w:lang w:eastAsia="en-GB"/>
        </w:rPr>
        <w:t>o</w:t>
      </w:r>
      <w:r w:rsidR="00303F93">
        <w:rPr>
          <w:lang w:eastAsia="en-GB"/>
        </w:rPr>
        <w:t xml:space="preserve"> assess the </w:t>
      </w:r>
      <w:r w:rsidR="006246C2">
        <w:rPr>
          <w:lang w:eastAsia="en-GB"/>
        </w:rPr>
        <w:t>matters specified in sub-paragraph (3) (a)</w:t>
      </w:r>
      <w:r w:rsidR="00303F93">
        <w:rPr>
          <w:lang w:eastAsia="en-GB"/>
        </w:rPr>
        <w:t xml:space="preserve">.  </w:t>
      </w:r>
      <w:r w:rsidR="00435954">
        <w:rPr>
          <w:lang w:eastAsia="en-GB"/>
        </w:rPr>
        <w:t xml:space="preserve">The representations may cover matters of which the headteacher was unaware at the time of the original decision, and we were told that that is not uncommon.  </w:t>
      </w:r>
      <w:r w:rsidR="00303F93">
        <w:rPr>
          <w:lang w:eastAsia="en-GB"/>
        </w:rPr>
        <w:t>It would make no sense if the fact that the</w:t>
      </w:r>
      <w:r w:rsidR="00435954">
        <w:rPr>
          <w:lang w:eastAsia="en-GB"/>
        </w:rPr>
        <w:t xml:space="preserve"> governors</w:t>
      </w:r>
      <w:r w:rsidR="00303F93">
        <w:rPr>
          <w:lang w:eastAsia="en-GB"/>
        </w:rPr>
        <w:t xml:space="preserve"> detect an erro</w:t>
      </w:r>
      <w:r w:rsidR="00B852B2">
        <w:rPr>
          <w:lang w:eastAsia="en-GB"/>
        </w:rPr>
        <w:t>r in the headteacher’s decision-making</w:t>
      </w:r>
      <w:r w:rsidR="00EF213D">
        <w:rPr>
          <w:lang w:eastAsia="en-GB"/>
        </w:rPr>
        <w:t xml:space="preserve"> (which will have been without the benefit of the material available to </w:t>
      </w:r>
      <w:r w:rsidR="005B7EF9">
        <w:rPr>
          <w:lang w:eastAsia="en-GB"/>
        </w:rPr>
        <w:t>them) meant that the</w:t>
      </w:r>
      <w:r w:rsidR="00DA200E">
        <w:rPr>
          <w:lang w:eastAsia="en-GB"/>
        </w:rPr>
        <w:t>ir only option was to reinstate the pupil even if it was in fa</w:t>
      </w:r>
      <w:r w:rsidR="00C11719">
        <w:rPr>
          <w:lang w:eastAsia="en-GB"/>
        </w:rPr>
        <w:t xml:space="preserve">ct clear that the exclusion was fully justified.  </w:t>
      </w:r>
      <w:r w:rsidR="009972F7">
        <w:rPr>
          <w:szCs w:val="24"/>
        </w:rPr>
        <w:t xml:space="preserve">It is, as Sedley LJ says, wrong to regard the role of the GDC as being simply to review the decision of the </w:t>
      </w:r>
      <w:r w:rsidR="00435954">
        <w:rPr>
          <w:szCs w:val="24"/>
        </w:rPr>
        <w:t>h</w:t>
      </w:r>
      <w:r w:rsidR="009972F7">
        <w:rPr>
          <w:szCs w:val="24"/>
        </w:rPr>
        <w:t>eadteacher for legality and rationality.</w:t>
      </w:r>
    </w:p>
    <w:p w14:paraId="66A87D56" w14:textId="58A7B1A3" w:rsidR="00C969FC" w:rsidRPr="005D4ADA" w:rsidRDefault="00C11719" w:rsidP="00972118">
      <w:pPr>
        <w:pStyle w:val="ParaLevel1"/>
        <w:rPr>
          <w:szCs w:val="24"/>
        </w:rPr>
      </w:pPr>
      <w:r>
        <w:rPr>
          <w:lang w:eastAsia="en-GB"/>
        </w:rPr>
        <w:t xml:space="preserve">Para. 71 of the </w:t>
      </w:r>
      <w:r w:rsidR="003D78B3">
        <w:rPr>
          <w:lang w:eastAsia="en-GB"/>
        </w:rPr>
        <w:t>Guidance</w:t>
      </w:r>
      <w:r>
        <w:rPr>
          <w:lang w:eastAsia="en-GB"/>
        </w:rPr>
        <w:t xml:space="preserve"> does not require a different conclusion.  In the first place, it is</w:t>
      </w:r>
      <w:r w:rsidR="003D78B3">
        <w:rPr>
          <w:lang w:eastAsia="en-GB"/>
        </w:rPr>
        <w:t xml:space="preserve"> couched in ter</w:t>
      </w:r>
      <w:r w:rsidR="00435954">
        <w:rPr>
          <w:lang w:eastAsia="en-GB"/>
        </w:rPr>
        <w:t>ms</w:t>
      </w:r>
      <w:r w:rsidR="003D78B3">
        <w:rPr>
          <w:lang w:eastAsia="en-GB"/>
        </w:rPr>
        <w:t xml:space="preserve"> of</w:t>
      </w:r>
      <w:r w:rsidR="00F97A7C" w:rsidRPr="00C969FC">
        <w:rPr>
          <w:szCs w:val="24"/>
        </w:rPr>
        <w:t xml:space="preserve"> “should”</w:t>
      </w:r>
      <w:r w:rsidR="003D78B3" w:rsidRPr="00C969FC">
        <w:rPr>
          <w:szCs w:val="24"/>
        </w:rPr>
        <w:t xml:space="preserve"> and</w:t>
      </w:r>
      <w:r w:rsidR="00F97A7C" w:rsidRPr="00C969FC">
        <w:rPr>
          <w:szCs w:val="24"/>
        </w:rPr>
        <w:t xml:space="preserve"> not “must”, guidance</w:t>
      </w:r>
      <w:r w:rsidR="003D78B3" w:rsidRPr="00C969FC">
        <w:rPr>
          <w:szCs w:val="24"/>
        </w:rPr>
        <w:t xml:space="preserve"> (</w:t>
      </w:r>
      <w:r w:rsidR="00F97A7C" w:rsidRPr="00C969FC">
        <w:rPr>
          <w:szCs w:val="24"/>
        </w:rPr>
        <w:t xml:space="preserve">see para. </w:t>
      </w:r>
      <w:r w:rsidR="00F64385">
        <w:rPr>
          <w:szCs w:val="24"/>
        </w:rPr>
        <w:t>10</w:t>
      </w:r>
      <w:r w:rsidR="00F97A7C" w:rsidRPr="00C969FC">
        <w:rPr>
          <w:szCs w:val="24"/>
        </w:rPr>
        <w:t xml:space="preserve"> above</w:t>
      </w:r>
      <w:r w:rsidR="003D78B3" w:rsidRPr="00C969FC">
        <w:rPr>
          <w:szCs w:val="24"/>
        </w:rPr>
        <w:t xml:space="preserve">).  But </w:t>
      </w:r>
      <w:r w:rsidR="00D9362C" w:rsidRPr="00C969FC">
        <w:rPr>
          <w:szCs w:val="24"/>
        </w:rPr>
        <w:t xml:space="preserve">in any event </w:t>
      </w:r>
      <w:r w:rsidR="004B2B89">
        <w:rPr>
          <w:szCs w:val="24"/>
        </w:rPr>
        <w:t xml:space="preserve">its effect is only to make clear that if the governors consider that the headteacher’s decision was </w:t>
      </w:r>
      <w:r w:rsidR="00C969FC" w:rsidRPr="00EB0F18">
        <w:rPr>
          <w:lang w:eastAsia="en-GB"/>
        </w:rPr>
        <w:t>lawful</w:t>
      </w:r>
      <w:r w:rsidR="004E125C">
        <w:rPr>
          <w:lang w:eastAsia="en-GB"/>
        </w:rPr>
        <w:t xml:space="preserve">, </w:t>
      </w:r>
      <w:r w:rsidR="00C969FC" w:rsidRPr="00EB0F18">
        <w:rPr>
          <w:lang w:eastAsia="en-GB"/>
        </w:rPr>
        <w:t>reasonable</w:t>
      </w:r>
      <w:r w:rsidR="00765A7A">
        <w:rPr>
          <w:lang w:eastAsia="en-GB"/>
        </w:rPr>
        <w:t xml:space="preserve"> </w:t>
      </w:r>
      <w:r w:rsidR="004E125C">
        <w:rPr>
          <w:lang w:eastAsia="en-GB"/>
        </w:rPr>
        <w:t xml:space="preserve">and </w:t>
      </w:r>
      <w:r w:rsidR="00C969FC" w:rsidRPr="00EB0F18">
        <w:rPr>
          <w:lang w:eastAsia="en-GB"/>
        </w:rPr>
        <w:t>procedurally fair</w:t>
      </w:r>
      <w:r w:rsidR="004E125C">
        <w:rPr>
          <w:lang w:eastAsia="en-GB"/>
        </w:rPr>
        <w:t xml:space="preserve">, taking account </w:t>
      </w:r>
      <w:r w:rsidR="006A2E40">
        <w:rPr>
          <w:lang w:eastAsia="en-GB"/>
        </w:rPr>
        <w:t>of the evidence that they have heard</w:t>
      </w:r>
      <w:r w:rsidR="00765A7A">
        <w:rPr>
          <w:lang w:eastAsia="en-GB"/>
        </w:rPr>
        <w:t xml:space="preserve">, they should uphold that decision.  It does not </w:t>
      </w:r>
      <w:r w:rsidR="009B0F6A">
        <w:rPr>
          <w:lang w:eastAsia="en-GB"/>
        </w:rPr>
        <w:t>say anything about what they should do if they find that it was flawed</w:t>
      </w:r>
      <w:r w:rsidR="00B35DF6">
        <w:rPr>
          <w:lang w:eastAsia="en-GB"/>
        </w:rPr>
        <w:t>.  No doubt if they find that it was unreasonable</w:t>
      </w:r>
      <w:r w:rsidR="00BE5442">
        <w:rPr>
          <w:lang w:eastAsia="en-GB"/>
        </w:rPr>
        <w:t xml:space="preserve">, or </w:t>
      </w:r>
      <w:r w:rsidR="006E064B">
        <w:rPr>
          <w:lang w:eastAsia="en-GB"/>
        </w:rPr>
        <w:t xml:space="preserve">absolutely </w:t>
      </w:r>
      <w:r w:rsidR="00BE5442">
        <w:rPr>
          <w:lang w:eastAsia="en-GB"/>
        </w:rPr>
        <w:t>unlawful</w:t>
      </w:r>
      <w:r w:rsidR="006E064B">
        <w:rPr>
          <w:lang w:eastAsia="en-GB"/>
        </w:rPr>
        <w:t>,</w:t>
      </w:r>
      <w:r w:rsidR="00B35DF6">
        <w:rPr>
          <w:lang w:eastAsia="en-GB"/>
        </w:rPr>
        <w:t xml:space="preserve"> they would have to </w:t>
      </w:r>
      <w:r w:rsidR="00BE5442">
        <w:rPr>
          <w:lang w:eastAsia="en-GB"/>
        </w:rPr>
        <w:t xml:space="preserve">reinstate.  But if they find that it was </w:t>
      </w:r>
      <w:r w:rsidR="006E064B">
        <w:rPr>
          <w:lang w:eastAsia="en-GB"/>
        </w:rPr>
        <w:t>procedurally unfair</w:t>
      </w:r>
      <w:r w:rsidR="0076694A">
        <w:rPr>
          <w:lang w:eastAsia="en-GB"/>
        </w:rPr>
        <w:t>, or unlawful only because of some error in the decision-</w:t>
      </w:r>
      <w:r w:rsidR="00CA7159">
        <w:rPr>
          <w:lang w:eastAsia="en-GB"/>
        </w:rPr>
        <w:t>making</w:t>
      </w:r>
      <w:r w:rsidR="0076694A">
        <w:rPr>
          <w:lang w:eastAsia="en-GB"/>
        </w:rPr>
        <w:t xml:space="preserve"> pro</w:t>
      </w:r>
      <w:r w:rsidR="00827217">
        <w:rPr>
          <w:lang w:eastAsia="en-GB"/>
        </w:rPr>
        <w:t>cess</w:t>
      </w:r>
      <w:r w:rsidR="0076694A">
        <w:rPr>
          <w:lang w:eastAsia="en-GB"/>
        </w:rPr>
        <w:t xml:space="preserve">es, </w:t>
      </w:r>
      <w:r w:rsidR="00CA7159">
        <w:rPr>
          <w:lang w:eastAsia="en-GB"/>
        </w:rPr>
        <w:t xml:space="preserve">nothing in the paragraph suggests that they cannot </w:t>
      </w:r>
      <w:r w:rsidR="00DC35A8">
        <w:rPr>
          <w:lang w:eastAsia="en-GB"/>
        </w:rPr>
        <w:t>proceed to make their own decision, applying procedural fairness and on a correct legal basis; and r</w:t>
      </w:r>
      <w:r w:rsidR="00141C09">
        <w:rPr>
          <w:lang w:eastAsia="en-GB"/>
        </w:rPr>
        <w:t>egulation 24 (3) (a)</w:t>
      </w:r>
      <w:r w:rsidR="00DC35A8">
        <w:rPr>
          <w:lang w:eastAsia="en-GB"/>
        </w:rPr>
        <w:t xml:space="preserve"> requires that they should</w:t>
      </w:r>
      <w:r w:rsidR="00141C09">
        <w:rPr>
          <w:lang w:eastAsia="en-GB"/>
        </w:rPr>
        <w:t xml:space="preserve">.  </w:t>
      </w:r>
    </w:p>
    <w:p w14:paraId="59E3C209" w14:textId="6604EB40" w:rsidR="005D4ADA" w:rsidRPr="00C969FC" w:rsidRDefault="005D4ADA" w:rsidP="00972118">
      <w:pPr>
        <w:pStyle w:val="ParaLevel1"/>
        <w:rPr>
          <w:szCs w:val="24"/>
        </w:rPr>
      </w:pPr>
      <w:r>
        <w:rPr>
          <w:lang w:eastAsia="en-GB"/>
        </w:rPr>
        <w:t xml:space="preserve">Ms Harrison’s second submission was that </w:t>
      </w:r>
      <w:r w:rsidR="00ED28F9">
        <w:rPr>
          <w:lang w:eastAsia="en-GB"/>
        </w:rPr>
        <w:t xml:space="preserve">even if the </w:t>
      </w:r>
      <w:r w:rsidR="00236F64">
        <w:rPr>
          <w:lang w:eastAsia="en-GB"/>
        </w:rPr>
        <w:t xml:space="preserve">GDC could in </w:t>
      </w:r>
      <w:r w:rsidR="00513F29">
        <w:rPr>
          <w:lang w:eastAsia="en-GB"/>
        </w:rPr>
        <w:t>principle</w:t>
      </w:r>
      <w:r w:rsidR="00236F64">
        <w:rPr>
          <w:lang w:eastAsia="en-GB"/>
        </w:rPr>
        <w:t xml:space="preserve"> have cured the Headteacher’s error of law by considering the PSED </w:t>
      </w:r>
      <w:r w:rsidR="00513F29">
        <w:rPr>
          <w:lang w:eastAsia="en-GB"/>
        </w:rPr>
        <w:t>for itself it had failed to do so.</w:t>
      </w:r>
      <w:r w:rsidR="00E14382">
        <w:rPr>
          <w:lang w:eastAsia="en-GB"/>
        </w:rPr>
        <w:t xml:space="preserve">  </w:t>
      </w:r>
      <w:r w:rsidR="006E0177">
        <w:rPr>
          <w:lang w:eastAsia="en-GB"/>
        </w:rPr>
        <w:t>S</w:t>
      </w:r>
      <w:r w:rsidR="00EC7D88">
        <w:rPr>
          <w:lang w:eastAsia="en-GB"/>
        </w:rPr>
        <w:t>he relied</w:t>
      </w:r>
      <w:r w:rsidR="00D900A3">
        <w:rPr>
          <w:lang w:eastAsia="en-GB"/>
        </w:rPr>
        <w:t xml:space="preserve"> on </w:t>
      </w:r>
      <w:r w:rsidR="00D106D8">
        <w:rPr>
          <w:lang w:eastAsia="en-GB"/>
        </w:rPr>
        <w:t>a</w:t>
      </w:r>
      <w:r w:rsidR="00D900A3">
        <w:rPr>
          <w:lang w:eastAsia="en-GB"/>
        </w:rPr>
        <w:t xml:space="preserve"> criticism made by the </w:t>
      </w:r>
      <w:r w:rsidR="00EC7D88">
        <w:rPr>
          <w:lang w:eastAsia="en-GB"/>
        </w:rPr>
        <w:t>IRP</w:t>
      </w:r>
      <w:r w:rsidR="006E0177">
        <w:rPr>
          <w:lang w:eastAsia="en-GB"/>
        </w:rPr>
        <w:t xml:space="preserve"> </w:t>
      </w:r>
      <w:r w:rsidR="00D106D8">
        <w:rPr>
          <w:lang w:eastAsia="en-GB"/>
        </w:rPr>
        <w:t>at para. 8.5 of its decision about</w:t>
      </w:r>
      <w:r w:rsidR="006E0177">
        <w:rPr>
          <w:lang w:eastAsia="en-GB"/>
        </w:rPr>
        <w:t xml:space="preserve"> the GDC’s consideration </w:t>
      </w:r>
      <w:r w:rsidR="00D106D8">
        <w:rPr>
          <w:lang w:eastAsia="en-GB"/>
        </w:rPr>
        <w:t xml:space="preserve">of the level of support received by </w:t>
      </w:r>
      <w:r w:rsidR="00112C9B">
        <w:rPr>
          <w:lang w:eastAsia="en-GB"/>
        </w:rPr>
        <w:t xml:space="preserve">TZB.  </w:t>
      </w:r>
      <w:r w:rsidR="00D106D8">
        <w:rPr>
          <w:lang w:eastAsia="en-GB"/>
        </w:rPr>
        <w:t xml:space="preserve"> </w:t>
      </w:r>
      <w:r w:rsidR="002D470B">
        <w:rPr>
          <w:lang w:eastAsia="en-GB"/>
        </w:rPr>
        <w:t xml:space="preserve"> I shall have to return to that later in connection with ground</w:t>
      </w:r>
      <w:r w:rsidR="001067FA">
        <w:rPr>
          <w:lang w:eastAsia="en-GB"/>
        </w:rPr>
        <w:t xml:space="preserve"> (</w:t>
      </w:r>
      <w:r w:rsidR="002D470B">
        <w:rPr>
          <w:lang w:eastAsia="en-GB"/>
        </w:rPr>
        <w:t>B</w:t>
      </w:r>
      <w:r w:rsidR="001067FA">
        <w:rPr>
          <w:lang w:eastAsia="en-GB"/>
        </w:rPr>
        <w:t xml:space="preserve">) </w:t>
      </w:r>
      <w:r w:rsidR="00832485">
        <w:rPr>
          <w:lang w:eastAsia="en-GB"/>
        </w:rPr>
        <w:t xml:space="preserve">(see para. </w:t>
      </w:r>
      <w:r w:rsidR="001067FA">
        <w:rPr>
          <w:lang w:eastAsia="en-GB"/>
        </w:rPr>
        <w:t>104 below)</w:t>
      </w:r>
      <w:r w:rsidR="002D470B">
        <w:rPr>
          <w:lang w:eastAsia="en-GB"/>
        </w:rPr>
        <w:t xml:space="preserve">, but </w:t>
      </w:r>
      <w:r w:rsidR="00112C9B">
        <w:rPr>
          <w:lang w:eastAsia="en-GB"/>
        </w:rPr>
        <w:t xml:space="preserve">subject to </w:t>
      </w:r>
      <w:r w:rsidR="00F47C70">
        <w:rPr>
          <w:lang w:eastAsia="en-GB"/>
        </w:rPr>
        <w:t xml:space="preserve">that I </w:t>
      </w:r>
      <w:r w:rsidR="00F001B2">
        <w:rPr>
          <w:lang w:eastAsia="en-GB"/>
        </w:rPr>
        <w:t xml:space="preserve">can say that I see no basis for any conclusion that in taking </w:t>
      </w:r>
      <w:r w:rsidR="00374D35">
        <w:rPr>
          <w:lang w:eastAsia="en-GB"/>
        </w:rPr>
        <w:t xml:space="preserve">its </w:t>
      </w:r>
      <w:r w:rsidR="00F47C70">
        <w:rPr>
          <w:lang w:eastAsia="en-GB"/>
        </w:rPr>
        <w:t>decision</w:t>
      </w:r>
      <w:r w:rsidR="00374D35">
        <w:rPr>
          <w:lang w:eastAsia="en-GB"/>
        </w:rPr>
        <w:t xml:space="preserve"> </w:t>
      </w:r>
      <w:r w:rsidR="00157D16">
        <w:rPr>
          <w:lang w:eastAsia="en-GB"/>
        </w:rPr>
        <w:t>not to reinstate him</w:t>
      </w:r>
      <w:r w:rsidR="00593139">
        <w:rPr>
          <w:lang w:eastAsia="en-GB"/>
        </w:rPr>
        <w:t xml:space="preserve"> or </w:t>
      </w:r>
      <w:r w:rsidR="00A13BEF">
        <w:rPr>
          <w:lang w:eastAsia="en-GB"/>
        </w:rPr>
        <w:t xml:space="preserve">its </w:t>
      </w:r>
      <w:r w:rsidR="00D759FE">
        <w:rPr>
          <w:lang w:eastAsia="en-GB"/>
        </w:rPr>
        <w:t>later reconsideration of that decision</w:t>
      </w:r>
      <w:r w:rsidR="00435954">
        <w:rPr>
          <w:lang w:eastAsia="en-GB"/>
        </w:rPr>
        <w:t xml:space="preserve"> (which is ultimately what matters)</w:t>
      </w:r>
      <w:r w:rsidR="00593139">
        <w:rPr>
          <w:lang w:eastAsia="en-GB"/>
        </w:rPr>
        <w:t>,</w:t>
      </w:r>
      <w:r w:rsidR="00157D16">
        <w:rPr>
          <w:lang w:eastAsia="en-GB"/>
        </w:rPr>
        <w:t xml:space="preserve"> the GDC </w:t>
      </w:r>
      <w:r w:rsidR="00F47C70">
        <w:rPr>
          <w:lang w:eastAsia="en-GB"/>
        </w:rPr>
        <w:t xml:space="preserve">failed to take </w:t>
      </w:r>
      <w:r w:rsidR="00435954">
        <w:rPr>
          <w:lang w:eastAsia="en-GB"/>
        </w:rPr>
        <w:t xml:space="preserve">the PSED </w:t>
      </w:r>
      <w:r w:rsidR="00F47C70">
        <w:rPr>
          <w:lang w:eastAsia="en-GB"/>
        </w:rPr>
        <w:t>into account</w:t>
      </w:r>
      <w:r w:rsidR="00D31CE7">
        <w:rPr>
          <w:lang w:eastAsia="en-GB"/>
        </w:rPr>
        <w:t>.</w:t>
      </w:r>
      <w:r w:rsidR="00593139">
        <w:rPr>
          <w:lang w:eastAsia="en-GB"/>
        </w:rPr>
        <w:t xml:space="preserve">  At the first mee</w:t>
      </w:r>
      <w:r w:rsidR="00530C63">
        <w:rPr>
          <w:lang w:eastAsia="en-GB"/>
        </w:rPr>
        <w:t>t</w:t>
      </w:r>
      <w:r w:rsidR="00593139">
        <w:rPr>
          <w:lang w:eastAsia="en-GB"/>
        </w:rPr>
        <w:t xml:space="preserve">ing it had been </w:t>
      </w:r>
      <w:r w:rsidR="00A119DC">
        <w:rPr>
          <w:lang w:eastAsia="en-GB"/>
        </w:rPr>
        <w:t xml:space="preserve">reminded of it explicitly by both KM </w:t>
      </w:r>
      <w:r w:rsidR="00747A7C">
        <w:rPr>
          <w:lang w:eastAsia="en-GB"/>
        </w:rPr>
        <w:t xml:space="preserve">and the local authority and it had referred </w:t>
      </w:r>
      <w:r w:rsidR="00D31CE7">
        <w:rPr>
          <w:lang w:eastAsia="en-GB"/>
        </w:rPr>
        <w:t>to it in ter</w:t>
      </w:r>
      <w:r w:rsidR="00747A7C">
        <w:rPr>
          <w:lang w:eastAsia="en-GB"/>
        </w:rPr>
        <w:t>m</w:t>
      </w:r>
      <w:r w:rsidR="00D31CE7">
        <w:rPr>
          <w:lang w:eastAsia="en-GB"/>
        </w:rPr>
        <w:t xml:space="preserve">s in </w:t>
      </w:r>
      <w:r w:rsidR="00747A7C">
        <w:rPr>
          <w:lang w:eastAsia="en-GB"/>
        </w:rPr>
        <w:t xml:space="preserve">its own reasons (see </w:t>
      </w:r>
      <w:r w:rsidR="00564579">
        <w:rPr>
          <w:lang w:eastAsia="en-GB"/>
        </w:rPr>
        <w:t>para. 10.10</w:t>
      </w:r>
      <w:r w:rsidR="00747A7C">
        <w:rPr>
          <w:lang w:eastAsia="en-GB"/>
        </w:rPr>
        <w:t xml:space="preserve"> of the minutes</w:t>
      </w:r>
      <w:r w:rsidR="000C252C">
        <w:rPr>
          <w:lang w:eastAsia="en-GB"/>
        </w:rPr>
        <w:t xml:space="preserve">).  </w:t>
      </w:r>
      <w:r w:rsidR="00435954">
        <w:rPr>
          <w:lang w:eastAsia="en-GB"/>
        </w:rPr>
        <w:t>At the reconsideration me</w:t>
      </w:r>
      <w:r w:rsidR="007B1C64">
        <w:rPr>
          <w:lang w:eastAsia="en-GB"/>
        </w:rPr>
        <w:t>e</w:t>
      </w:r>
      <w:r w:rsidR="00435954">
        <w:rPr>
          <w:lang w:eastAsia="en-GB"/>
        </w:rPr>
        <w:t>ting i</w:t>
      </w:r>
      <w:r w:rsidR="007360DA">
        <w:rPr>
          <w:lang w:eastAsia="en-GB"/>
        </w:rPr>
        <w:t xml:space="preserve">t was the entire focus of the submissions of </w:t>
      </w:r>
      <w:r w:rsidR="00052F5A">
        <w:rPr>
          <w:lang w:eastAsia="en-GB"/>
        </w:rPr>
        <w:t xml:space="preserve">JFKL and </w:t>
      </w:r>
      <w:r w:rsidR="007360DA">
        <w:rPr>
          <w:lang w:eastAsia="en-GB"/>
        </w:rPr>
        <w:t xml:space="preserve">Mr Persey </w:t>
      </w:r>
      <w:r w:rsidR="001A122E">
        <w:rPr>
          <w:lang w:eastAsia="en-GB"/>
        </w:rPr>
        <w:t>a</w:t>
      </w:r>
      <w:r w:rsidR="00052F5A">
        <w:rPr>
          <w:lang w:eastAsia="en-GB"/>
        </w:rPr>
        <w:t xml:space="preserve">nd </w:t>
      </w:r>
      <w:r w:rsidR="00435954">
        <w:rPr>
          <w:lang w:eastAsia="en-GB"/>
        </w:rPr>
        <w:t xml:space="preserve">it </w:t>
      </w:r>
      <w:r w:rsidR="00052F5A">
        <w:rPr>
          <w:lang w:eastAsia="en-GB"/>
        </w:rPr>
        <w:t xml:space="preserve">was extensively </w:t>
      </w:r>
      <w:r w:rsidR="001A122E">
        <w:rPr>
          <w:lang w:eastAsia="en-GB"/>
        </w:rPr>
        <w:t>referred</w:t>
      </w:r>
      <w:r w:rsidR="00052F5A">
        <w:rPr>
          <w:lang w:eastAsia="en-GB"/>
        </w:rPr>
        <w:t xml:space="preserve"> to in the relevant minutes: see p</w:t>
      </w:r>
      <w:r w:rsidR="002F5AD6">
        <w:rPr>
          <w:lang w:eastAsia="en-GB"/>
        </w:rPr>
        <w:t>aras. 56-57</w:t>
      </w:r>
      <w:r w:rsidR="00052F5A">
        <w:rPr>
          <w:lang w:eastAsia="en-GB"/>
        </w:rPr>
        <w:t xml:space="preserve"> above.</w:t>
      </w:r>
      <w:r w:rsidR="007360DA">
        <w:rPr>
          <w:lang w:eastAsia="en-GB"/>
        </w:rPr>
        <w:t xml:space="preserve">  </w:t>
      </w:r>
      <w:r w:rsidR="00747A7C">
        <w:rPr>
          <w:lang w:eastAsia="en-GB"/>
        </w:rPr>
        <w:t xml:space="preserve"> </w:t>
      </w:r>
    </w:p>
    <w:p w14:paraId="14F15B2B" w14:textId="138B00FC" w:rsidR="00F7233B" w:rsidRPr="00BB54C8" w:rsidRDefault="009059A8" w:rsidP="00972118">
      <w:pPr>
        <w:pStyle w:val="ParaLevel1"/>
        <w:rPr>
          <w:szCs w:val="24"/>
        </w:rPr>
      </w:pPr>
      <w:r>
        <w:rPr>
          <w:szCs w:val="24"/>
        </w:rPr>
        <w:t>I accordingly accept Mr Cross’s submission</w:t>
      </w:r>
      <w:r w:rsidR="005B7F5B">
        <w:rPr>
          <w:szCs w:val="24"/>
        </w:rPr>
        <w:t xml:space="preserve"> on ground 1 under the Respondent’s Notice.  </w:t>
      </w:r>
      <w:r w:rsidR="006F3831" w:rsidRPr="00BB54C8">
        <w:rPr>
          <w:szCs w:val="24"/>
        </w:rPr>
        <w:t xml:space="preserve">That being so, </w:t>
      </w:r>
      <w:r w:rsidR="00D33A80" w:rsidRPr="00BB54C8">
        <w:rPr>
          <w:szCs w:val="24"/>
        </w:rPr>
        <w:t xml:space="preserve">I need not consider the School’s </w:t>
      </w:r>
      <w:r w:rsidR="00ED2040" w:rsidRPr="00BB54C8">
        <w:rPr>
          <w:szCs w:val="24"/>
        </w:rPr>
        <w:t xml:space="preserve">further </w:t>
      </w:r>
      <w:r w:rsidR="00980F1E" w:rsidRPr="00BB54C8">
        <w:rPr>
          <w:szCs w:val="24"/>
        </w:rPr>
        <w:t>alternative</w:t>
      </w:r>
      <w:r w:rsidR="00ED2040" w:rsidRPr="00BB54C8">
        <w:rPr>
          <w:szCs w:val="24"/>
        </w:rPr>
        <w:t xml:space="preserve"> answer based on section 31 (2A) of the 1981 Act.  Nor, strictly, </w:t>
      </w:r>
      <w:r w:rsidR="006F3831" w:rsidRPr="00BB54C8">
        <w:rPr>
          <w:szCs w:val="24"/>
        </w:rPr>
        <w:t xml:space="preserve">is </w:t>
      </w:r>
      <w:r w:rsidR="00980F1E" w:rsidRPr="00BB54C8">
        <w:rPr>
          <w:szCs w:val="24"/>
        </w:rPr>
        <w:t xml:space="preserve">it </w:t>
      </w:r>
      <w:r w:rsidR="006F3831" w:rsidRPr="00BB54C8">
        <w:rPr>
          <w:szCs w:val="24"/>
        </w:rPr>
        <w:t xml:space="preserve">necessary that I </w:t>
      </w:r>
      <w:r w:rsidR="00183EC6" w:rsidRPr="00BB54C8">
        <w:rPr>
          <w:szCs w:val="24"/>
        </w:rPr>
        <w:t xml:space="preserve">address the grounds of appeal, but I will </w:t>
      </w:r>
      <w:r w:rsidR="00555A34" w:rsidRPr="00BB54C8">
        <w:rPr>
          <w:szCs w:val="24"/>
        </w:rPr>
        <w:t xml:space="preserve">nevertheless </w:t>
      </w:r>
      <w:r w:rsidR="00A30065" w:rsidRPr="00BB54C8">
        <w:rPr>
          <w:szCs w:val="24"/>
        </w:rPr>
        <w:t xml:space="preserve">briefly </w:t>
      </w:r>
      <w:r w:rsidR="00555A34" w:rsidRPr="00BB54C8">
        <w:rPr>
          <w:szCs w:val="24"/>
        </w:rPr>
        <w:t>do so</w:t>
      </w:r>
      <w:r w:rsidR="006E1A83" w:rsidRPr="00BB54C8">
        <w:rPr>
          <w:szCs w:val="24"/>
        </w:rPr>
        <w:t xml:space="preserve">.  </w:t>
      </w:r>
    </w:p>
    <w:p w14:paraId="6634D3E0" w14:textId="59775D0F" w:rsidR="00691902" w:rsidRPr="0049724F" w:rsidRDefault="00500BD2" w:rsidP="00972118">
      <w:pPr>
        <w:pStyle w:val="ParaLevel1"/>
        <w:numPr>
          <w:ilvl w:val="0"/>
          <w:numId w:val="0"/>
        </w:numPr>
        <w:ind w:left="720" w:hanging="720"/>
        <w:rPr>
          <w:szCs w:val="24"/>
          <w:u w:val="single"/>
        </w:rPr>
      </w:pPr>
      <w:r w:rsidRPr="0049724F">
        <w:rPr>
          <w:u w:val="single"/>
        </w:rPr>
        <w:t xml:space="preserve">Ground 1 </w:t>
      </w:r>
    </w:p>
    <w:p w14:paraId="63BC47D3" w14:textId="77777777" w:rsidR="00EC40EF" w:rsidRPr="00EC40EF" w:rsidRDefault="00CF073D" w:rsidP="00972118">
      <w:pPr>
        <w:pStyle w:val="ParaLevel1"/>
        <w:rPr>
          <w:szCs w:val="24"/>
        </w:rPr>
      </w:pPr>
      <w:r>
        <w:t>In</w:t>
      </w:r>
      <w:r w:rsidR="00C115E8">
        <w:t xml:space="preserve"> the ground</w:t>
      </w:r>
      <w:r>
        <w:t xml:space="preserve"> as fully pleaded, the Claimant now accep</w:t>
      </w:r>
      <w:r w:rsidR="009D3913">
        <w:t>ts, and Ms Harrison confirmed before us</w:t>
      </w:r>
      <w:r w:rsidR="00C115E8">
        <w:t xml:space="preserve">, </w:t>
      </w:r>
      <w:r w:rsidR="006A7E76">
        <w:t>t</w:t>
      </w:r>
      <w:r w:rsidR="009D3913">
        <w:t xml:space="preserve">hat there is </w:t>
      </w:r>
      <w:r w:rsidR="0084192D">
        <w:t>n</w:t>
      </w:r>
      <w:r w:rsidR="006A7E76">
        <w:t xml:space="preserve">o </w:t>
      </w:r>
      <w:r w:rsidR="0084192D">
        <w:t>legal requirement that a decision-maker</w:t>
      </w:r>
      <w:r w:rsidR="00140D63">
        <w:t xml:space="preserve"> should make a contempora</w:t>
      </w:r>
      <w:r w:rsidR="00825801">
        <w:t xml:space="preserve">neous written record of their consideration </w:t>
      </w:r>
      <w:r w:rsidR="00C84142">
        <w:t xml:space="preserve">of the matters identified in section 149 (1) of the Act.  </w:t>
      </w:r>
      <w:r w:rsidR="00E740F2">
        <w:t xml:space="preserve">That </w:t>
      </w:r>
      <w:r w:rsidR="00262A21">
        <w:t>is</w:t>
      </w:r>
      <w:r w:rsidR="00E740F2">
        <w:t xml:space="preserve"> in truth </w:t>
      </w:r>
      <w:r w:rsidR="00262A21">
        <w:t xml:space="preserve">very well </w:t>
      </w:r>
      <w:r w:rsidR="00FB21BB">
        <w:t>establish</w:t>
      </w:r>
      <w:r w:rsidR="00262A21">
        <w:t>ed</w:t>
      </w:r>
      <w:r w:rsidR="00FB21BB">
        <w:t xml:space="preserve"> in the authorities</w:t>
      </w:r>
      <w:r w:rsidR="00262A21">
        <w:t xml:space="preserve">, and it is rather surprising that </w:t>
      </w:r>
      <w:r w:rsidR="00B31B81">
        <w:t xml:space="preserve">the Claimant sought to persuade the IRP and the GDC otherwise.  </w:t>
      </w:r>
    </w:p>
    <w:p w14:paraId="10A20A45" w14:textId="1DA40256" w:rsidR="002A2797" w:rsidRPr="00EC40EF" w:rsidRDefault="00A1519A" w:rsidP="00972118">
      <w:pPr>
        <w:pStyle w:val="ParaLevel1"/>
        <w:rPr>
          <w:szCs w:val="24"/>
        </w:rPr>
      </w:pPr>
      <w:r>
        <w:t xml:space="preserve">The </w:t>
      </w:r>
      <w:r w:rsidR="00F27ED1">
        <w:t xml:space="preserve">argument now </w:t>
      </w:r>
      <w:r w:rsidR="00442BD9">
        <w:t>advanced</w:t>
      </w:r>
      <w:r w:rsidR="00F27ED1">
        <w:t xml:space="preserve"> </w:t>
      </w:r>
      <w:r w:rsidR="00041469">
        <w:t xml:space="preserve">is that the </w:t>
      </w:r>
      <w:r w:rsidR="005D0E20">
        <w:t xml:space="preserve">absence of </w:t>
      </w:r>
      <w:r w:rsidR="005E6C75">
        <w:t>any such record remain</w:t>
      </w:r>
      <w:r w:rsidR="00442BD9">
        <w:t>ed</w:t>
      </w:r>
      <w:r w:rsidR="005E6C75">
        <w:t xml:space="preserve"> a relevant evidential consideration in deciding whether </w:t>
      </w:r>
      <w:r w:rsidR="00C43677">
        <w:t xml:space="preserve">as a matter of fact the </w:t>
      </w:r>
      <w:r w:rsidR="00390E4C">
        <w:t>Headteacher</w:t>
      </w:r>
      <w:r w:rsidR="00C43677">
        <w:t xml:space="preserve"> did have regard to those considerations</w:t>
      </w:r>
      <w:r w:rsidR="00306743">
        <w:t xml:space="preserve">, and </w:t>
      </w:r>
      <w:r w:rsidR="00FB225E">
        <w:t xml:space="preserve">that </w:t>
      </w:r>
      <w:r w:rsidR="004A6B14">
        <w:t xml:space="preserve">it is clear from </w:t>
      </w:r>
      <w:r w:rsidR="00306743">
        <w:t xml:space="preserve">the </w:t>
      </w:r>
      <w:r w:rsidR="009505AB">
        <w:t xml:space="preserve">minute of the reconsideration </w:t>
      </w:r>
      <w:r w:rsidR="00F65983">
        <w:t xml:space="preserve">meeting that the </w:t>
      </w:r>
      <w:r w:rsidR="00306743">
        <w:t xml:space="preserve">GDC wrongly proceeded on the basis that </w:t>
      </w:r>
      <w:r w:rsidR="001B4AF2">
        <w:t>such a record</w:t>
      </w:r>
      <w:r w:rsidR="00306743">
        <w:t xml:space="preserve"> existed when it </w:t>
      </w:r>
      <w:r w:rsidR="004A6B14">
        <w:t>did not</w:t>
      </w:r>
      <w:r w:rsidR="00E91A9B">
        <w:t xml:space="preserve">.  </w:t>
      </w:r>
      <w:r w:rsidR="002E79EC">
        <w:t xml:space="preserve">But the Judge found that the reference in that minute to “written evidence” was to </w:t>
      </w:r>
      <w:r w:rsidR="009F1976">
        <w:t>the minutes of the earlier meeting</w:t>
      </w:r>
      <w:r w:rsidR="00D15F79">
        <w:t>.</w:t>
      </w:r>
      <w:r w:rsidR="00B6611F">
        <w:t xml:space="preserve">  </w:t>
      </w:r>
      <w:r w:rsidR="00D15F79">
        <w:t xml:space="preserve">That being so, the GDC </w:t>
      </w:r>
      <w:r w:rsidR="00435954">
        <w:t>was</w:t>
      </w:r>
      <w:r w:rsidR="00D15F79">
        <w:t xml:space="preserve"> aware that </w:t>
      </w:r>
      <w:r w:rsidR="002065EB">
        <w:t>there was no contemporaneous written evidence of the kind that the Claimant was then contending was necessary</w:t>
      </w:r>
      <w:r w:rsidR="00C0330E">
        <w:t xml:space="preserve">: rather, </w:t>
      </w:r>
      <w:r w:rsidR="00435954">
        <w:t>it was</w:t>
      </w:r>
      <w:r w:rsidR="00C0330E">
        <w:t xml:space="preserve"> relying on the record of what the Headteacher had told them at the meeting.</w:t>
      </w:r>
      <w:r w:rsidR="009C0FD1">
        <w:t xml:space="preserve">  Her statement that she had in fact had regard to the </w:t>
      </w:r>
      <w:r w:rsidR="00CF2671">
        <w:t xml:space="preserve">requirements of the Act was </w:t>
      </w:r>
      <w:r w:rsidR="002A2797">
        <w:t xml:space="preserve">evidence on which </w:t>
      </w:r>
      <w:r w:rsidR="00435954">
        <w:t>it was</w:t>
      </w:r>
      <w:r w:rsidR="002A2797">
        <w:t xml:space="preserve"> entitled to rely.</w:t>
      </w:r>
    </w:p>
    <w:p w14:paraId="47ECBC86" w14:textId="58CC50B9" w:rsidR="005D0E20" w:rsidRPr="005D0E20" w:rsidRDefault="002A2797" w:rsidP="00972118">
      <w:pPr>
        <w:pStyle w:val="ParaLevel1"/>
        <w:numPr>
          <w:ilvl w:val="0"/>
          <w:numId w:val="0"/>
        </w:numPr>
        <w:rPr>
          <w:szCs w:val="24"/>
        </w:rPr>
      </w:pPr>
      <w:r>
        <w:rPr>
          <w:u w:val="single"/>
        </w:rPr>
        <w:t>Ground 2</w:t>
      </w:r>
      <w:r w:rsidR="00E91A9B">
        <w:t xml:space="preserve"> </w:t>
      </w:r>
    </w:p>
    <w:p w14:paraId="6007F01A" w14:textId="2569B04E" w:rsidR="005D0E20" w:rsidRPr="005D0E20" w:rsidRDefault="00C311B7" w:rsidP="00972118">
      <w:pPr>
        <w:pStyle w:val="ParaLevel1"/>
        <w:rPr>
          <w:szCs w:val="24"/>
        </w:rPr>
      </w:pPr>
      <w:r>
        <w:rPr>
          <w:szCs w:val="24"/>
        </w:rPr>
        <w:t xml:space="preserve">This ground essentially challenges the Judge’s reasoning at </w:t>
      </w:r>
      <w:r w:rsidR="00401E2D">
        <w:rPr>
          <w:szCs w:val="24"/>
        </w:rPr>
        <w:t xml:space="preserve">paras. 59-68 </w:t>
      </w:r>
      <w:r w:rsidR="0076403B">
        <w:rPr>
          <w:szCs w:val="24"/>
        </w:rPr>
        <w:t xml:space="preserve">of his judgment (see para. </w:t>
      </w:r>
      <w:r w:rsidR="002F5AD6">
        <w:rPr>
          <w:szCs w:val="24"/>
        </w:rPr>
        <w:t>63</w:t>
      </w:r>
      <w:r w:rsidR="0076403B">
        <w:rPr>
          <w:szCs w:val="24"/>
        </w:rPr>
        <w:t xml:space="preserve"> above).  </w:t>
      </w:r>
      <w:r w:rsidR="00091A70">
        <w:rPr>
          <w:szCs w:val="24"/>
        </w:rPr>
        <w:t>Ms Harrison</w:t>
      </w:r>
      <w:r w:rsidR="007949EF">
        <w:rPr>
          <w:szCs w:val="24"/>
        </w:rPr>
        <w:t xml:space="preserve"> submitted that his approach in those p</w:t>
      </w:r>
      <w:r w:rsidR="007F348C">
        <w:rPr>
          <w:szCs w:val="24"/>
        </w:rPr>
        <w:t xml:space="preserve">aragraphs showed a failure to appreciate the </w:t>
      </w:r>
      <w:r w:rsidR="00715168">
        <w:rPr>
          <w:szCs w:val="24"/>
        </w:rPr>
        <w:t xml:space="preserve">rigorous nature of the duty </w:t>
      </w:r>
      <w:r w:rsidR="00D47E1F">
        <w:rPr>
          <w:szCs w:val="24"/>
        </w:rPr>
        <w:t>imposed by section 149 (1)</w:t>
      </w:r>
      <w:r w:rsidR="006D3E8F">
        <w:rPr>
          <w:szCs w:val="24"/>
        </w:rPr>
        <w:t xml:space="preserve">.  She </w:t>
      </w:r>
      <w:r w:rsidR="005B0840">
        <w:rPr>
          <w:szCs w:val="24"/>
        </w:rPr>
        <w:t>referred</w:t>
      </w:r>
      <w:r w:rsidR="006D3E8F">
        <w:rPr>
          <w:szCs w:val="24"/>
        </w:rPr>
        <w:t xml:space="preserve"> to the well-</w:t>
      </w:r>
      <w:r w:rsidR="005B0840">
        <w:rPr>
          <w:szCs w:val="24"/>
        </w:rPr>
        <w:t>known</w:t>
      </w:r>
      <w:r w:rsidR="006D3E8F">
        <w:rPr>
          <w:szCs w:val="24"/>
        </w:rPr>
        <w:t xml:space="preserve"> </w:t>
      </w:r>
      <w:r w:rsidR="00AD1743">
        <w:rPr>
          <w:szCs w:val="24"/>
        </w:rPr>
        <w:t xml:space="preserve">summary of the </w:t>
      </w:r>
      <w:r w:rsidR="00C62E94">
        <w:rPr>
          <w:szCs w:val="24"/>
        </w:rPr>
        <w:t xml:space="preserve">approach required by the </w:t>
      </w:r>
      <w:r w:rsidR="007B1C64">
        <w:rPr>
          <w:szCs w:val="24"/>
        </w:rPr>
        <w:t>section</w:t>
      </w:r>
      <w:r w:rsidR="00C62E94">
        <w:rPr>
          <w:szCs w:val="24"/>
        </w:rPr>
        <w:t xml:space="preserve"> in </w:t>
      </w:r>
      <w:r w:rsidR="00BB1C03">
        <w:rPr>
          <w:szCs w:val="24"/>
        </w:rPr>
        <w:t xml:space="preserve">para. 26 of </w:t>
      </w:r>
      <w:r w:rsidR="00C62E94">
        <w:rPr>
          <w:szCs w:val="24"/>
        </w:rPr>
        <w:t xml:space="preserve">the judgment of McCombe LJ in </w:t>
      </w:r>
      <w:r w:rsidR="00BB1C03">
        <w:rPr>
          <w:i/>
          <w:iCs/>
          <w:szCs w:val="24"/>
        </w:rPr>
        <w:t xml:space="preserve">Bracking v Secretary of State for Work and Pensions </w:t>
      </w:r>
      <w:r w:rsidR="005B0840">
        <w:rPr>
          <w:szCs w:val="24"/>
        </w:rPr>
        <w:t xml:space="preserve">[2013] EWCA Civ 1345, and specifically to the passages emphasising that </w:t>
      </w:r>
      <w:r w:rsidR="00786683">
        <w:rPr>
          <w:szCs w:val="24"/>
        </w:rPr>
        <w:t xml:space="preserve">“due </w:t>
      </w:r>
      <w:r w:rsidR="00D47E1F">
        <w:rPr>
          <w:szCs w:val="24"/>
        </w:rPr>
        <w:t>regard</w:t>
      </w:r>
      <w:r w:rsidR="00786683">
        <w:rPr>
          <w:szCs w:val="24"/>
        </w:rPr>
        <w:t xml:space="preserve">” requires a rigorous and conscientious </w:t>
      </w:r>
      <w:r w:rsidR="00754135">
        <w:rPr>
          <w:szCs w:val="24"/>
        </w:rPr>
        <w:t xml:space="preserve">focus on the </w:t>
      </w:r>
      <w:r w:rsidR="00D47E1F">
        <w:rPr>
          <w:szCs w:val="24"/>
        </w:rPr>
        <w:t>specific</w:t>
      </w:r>
      <w:r w:rsidR="00754135">
        <w:rPr>
          <w:szCs w:val="24"/>
        </w:rPr>
        <w:t xml:space="preserve"> considerations. </w:t>
      </w:r>
    </w:p>
    <w:p w14:paraId="37292F53" w14:textId="6BBD0570" w:rsidR="00750AFF" w:rsidRPr="00610041" w:rsidRDefault="00DD7C66" w:rsidP="00972118">
      <w:pPr>
        <w:pStyle w:val="ParaLevel1"/>
        <w:rPr>
          <w:szCs w:val="24"/>
        </w:rPr>
      </w:pPr>
      <w:r>
        <w:t xml:space="preserve">I do not believe that the Judge fell into any such error.  </w:t>
      </w:r>
      <w:r w:rsidR="007A5F53">
        <w:t xml:space="preserve">His reasoning in the paragraphs which I have quoted correctly begins with the proposition that what </w:t>
      </w:r>
      <w:r w:rsidR="00B63E4F">
        <w:t xml:space="preserve">section 149 (1) requires depends on the context.  He </w:t>
      </w:r>
      <w:r w:rsidR="00325EDD">
        <w:t xml:space="preserve">rightly emphasised that the decision in this case </w:t>
      </w:r>
      <w:r w:rsidR="00457303">
        <w:t>was an individual decision affecting a single pupil: c</w:t>
      </w:r>
      <w:r w:rsidR="00E7708F">
        <w:t>f</w:t>
      </w:r>
      <w:r w:rsidR="00457303">
        <w:t xml:space="preserve"> my observations at paras</w:t>
      </w:r>
      <w:r w:rsidR="00316399">
        <w:t>. 22-24</w:t>
      </w:r>
      <w:r w:rsidR="00457303">
        <w:t xml:space="preserve"> above.</w:t>
      </w:r>
      <w:r w:rsidR="00E7708F">
        <w:t xml:space="preserve">  His </w:t>
      </w:r>
      <w:r w:rsidR="00915CBD">
        <w:t>poi</w:t>
      </w:r>
      <w:r w:rsidR="00E7708F">
        <w:t>nt that the Headteacher was, and would have been known by the GDC</w:t>
      </w:r>
      <w:r w:rsidR="00915CBD">
        <w:t xml:space="preserve"> to be</w:t>
      </w:r>
      <w:r w:rsidR="00E7708F">
        <w:t xml:space="preserve">, very familiar </w:t>
      </w:r>
      <w:r w:rsidR="007C3275">
        <w:t>with the disproportionate exclusion rate for pupils with TZB</w:t>
      </w:r>
      <w:r w:rsidR="00915CBD">
        <w:t>’s characteristics</w:t>
      </w:r>
      <w:r w:rsidR="005925A4">
        <w:t xml:space="preserve">, and the impact that exclusion would necessarily have on him, is important and apposite.  </w:t>
      </w:r>
      <w:r w:rsidR="006E4E32">
        <w:t xml:space="preserve">He </w:t>
      </w:r>
      <w:r w:rsidR="003065AA">
        <w:t>considered that w</w:t>
      </w:r>
      <w:r w:rsidR="005925A4">
        <w:t xml:space="preserve">hat she then needed to do was to consider whether, taking </w:t>
      </w:r>
      <w:r w:rsidR="00C74B2D">
        <w:t>th</w:t>
      </w:r>
      <w:r w:rsidR="008533D7">
        <w:t>at</w:t>
      </w:r>
      <w:r w:rsidR="00C74B2D">
        <w:t xml:space="preserve"> factor into account, it was </w:t>
      </w:r>
      <w:r w:rsidR="00F10F50">
        <w:t xml:space="preserve">nevertheless right to exclude him in the light of the seriousness of the misconduct </w:t>
      </w:r>
      <w:r w:rsidR="00C0147A">
        <w:t>foun</w:t>
      </w:r>
      <w:r w:rsidR="00F10F50">
        <w:t xml:space="preserve">d and the harm that would be </w:t>
      </w:r>
      <w:r w:rsidR="00C0147A">
        <w:t>done by allowing him to remain as a pupil</w:t>
      </w:r>
      <w:r w:rsidR="00B619B6">
        <w:t>: i</w:t>
      </w:r>
      <w:r w:rsidR="007C430B">
        <w:t>f that was done the PSED would be satisfied</w:t>
      </w:r>
      <w:r w:rsidR="00084A5F">
        <w:t>.  That was in my view a sensible and correct approach.</w:t>
      </w:r>
      <w:r w:rsidR="005925A4">
        <w:t xml:space="preserve"> </w:t>
      </w:r>
      <w:r w:rsidR="00457303">
        <w:t xml:space="preserve">  </w:t>
      </w:r>
    </w:p>
    <w:p w14:paraId="420949A9" w14:textId="77777777" w:rsidR="00750AFF" w:rsidRPr="00610041" w:rsidRDefault="00750AFF" w:rsidP="00972118">
      <w:pPr>
        <w:pStyle w:val="ParaLevel1"/>
        <w:numPr>
          <w:ilvl w:val="0"/>
          <w:numId w:val="0"/>
        </w:numPr>
        <w:rPr>
          <w:szCs w:val="24"/>
          <w:u w:val="single"/>
        </w:rPr>
      </w:pPr>
      <w:r>
        <w:rPr>
          <w:szCs w:val="24"/>
          <w:u w:val="single"/>
        </w:rPr>
        <w:t>Ground 3</w:t>
      </w:r>
    </w:p>
    <w:p w14:paraId="71286AB4" w14:textId="77777777" w:rsidR="00944C75" w:rsidRPr="00944C75" w:rsidRDefault="00093939" w:rsidP="00972118">
      <w:pPr>
        <w:pStyle w:val="ParaLevel1"/>
        <w:rPr>
          <w:szCs w:val="24"/>
        </w:rPr>
      </w:pPr>
      <w:r>
        <w:t>This ground is based entirely on the parenthe</w:t>
      </w:r>
      <w:r w:rsidR="00081556">
        <w:t>sis in para. 63 of the judgment “</w:t>
      </w:r>
      <w:r w:rsidRPr="001F1216">
        <w:t>(as was demonstrated by her evidence in her witness statement)</w:t>
      </w:r>
      <w:r w:rsidR="00081556">
        <w:t xml:space="preserve">”.  Ms Harrison contends that the Judge thereby wrongly took into consideration material that was not before the GDC </w:t>
      </w:r>
      <w:r w:rsidR="00B259E8">
        <w:t xml:space="preserve">and could not therefore </w:t>
      </w:r>
      <w:r w:rsidR="00B57EA3">
        <w:t xml:space="preserve">justify it in concluding that the Headteacher </w:t>
      </w:r>
      <w:r w:rsidR="00B1599D">
        <w:t xml:space="preserve">had had due regard to the PSED.  </w:t>
      </w:r>
      <w:r w:rsidR="00B87F9A">
        <w:t xml:space="preserve">There is nothing in this.  The Judge’s reference to the Headteacher’s witness statement is in </w:t>
      </w:r>
      <w:r w:rsidR="00944C75">
        <w:t>parentheses</w:t>
      </w:r>
      <w:r w:rsidR="00BA752B">
        <w:t xml:space="preserve"> precisely because it </w:t>
      </w:r>
      <w:r w:rsidR="008E018B">
        <w:t>merely confirms the point already substantively made in paras. 60-61</w:t>
      </w:r>
      <w:r w:rsidR="00944C75">
        <w:t>.</w:t>
      </w:r>
      <w:r w:rsidR="00B1599D">
        <w:t xml:space="preserve"> </w:t>
      </w:r>
    </w:p>
    <w:p w14:paraId="233B8F4F" w14:textId="3F04E1CD" w:rsidR="00375FF4" w:rsidRPr="00375FF4" w:rsidRDefault="00375FF4" w:rsidP="00390E4C">
      <w:pPr>
        <w:pStyle w:val="ParaLevel1"/>
        <w:keepNext/>
        <w:numPr>
          <w:ilvl w:val="0"/>
          <w:numId w:val="0"/>
        </w:numPr>
        <w:rPr>
          <w:szCs w:val="24"/>
          <w:u w:val="single"/>
        </w:rPr>
      </w:pPr>
      <w:r w:rsidRPr="00375FF4">
        <w:rPr>
          <w:szCs w:val="24"/>
          <w:u w:val="single"/>
        </w:rPr>
        <w:t>CONCLUSION ON GROUND (A)</w:t>
      </w:r>
    </w:p>
    <w:p w14:paraId="3B765951" w14:textId="77777777" w:rsidR="006B7015" w:rsidRDefault="0067171D" w:rsidP="00390E4C">
      <w:pPr>
        <w:pStyle w:val="ParaLevel1"/>
        <w:keepNext/>
        <w:rPr>
          <w:szCs w:val="24"/>
        </w:rPr>
      </w:pPr>
      <w:r>
        <w:rPr>
          <w:szCs w:val="24"/>
        </w:rPr>
        <w:t xml:space="preserve">The Judge was right to reject the PSED challenge, both for the reasons that he gave and </w:t>
      </w:r>
      <w:r w:rsidR="00767AF1">
        <w:rPr>
          <w:szCs w:val="24"/>
        </w:rPr>
        <w:t xml:space="preserve">for the further reason advanced in the </w:t>
      </w:r>
      <w:r w:rsidR="004055DC">
        <w:rPr>
          <w:szCs w:val="24"/>
        </w:rPr>
        <w:t>Respondent’s</w:t>
      </w:r>
      <w:r w:rsidR="00767AF1">
        <w:rPr>
          <w:szCs w:val="24"/>
        </w:rPr>
        <w:t xml:space="preserve"> Notice.  </w:t>
      </w:r>
    </w:p>
    <w:p w14:paraId="351EC51C" w14:textId="0810AE0C" w:rsidR="007D5E68" w:rsidRPr="00430237" w:rsidRDefault="00204DBC" w:rsidP="00972118">
      <w:pPr>
        <w:pStyle w:val="ParaLevel1"/>
        <w:rPr>
          <w:szCs w:val="24"/>
        </w:rPr>
      </w:pPr>
      <w:r>
        <w:rPr>
          <w:szCs w:val="24"/>
        </w:rPr>
        <w:t xml:space="preserve">I wish to add </w:t>
      </w:r>
      <w:r w:rsidR="00430237">
        <w:rPr>
          <w:szCs w:val="24"/>
        </w:rPr>
        <w:t>that</w:t>
      </w:r>
      <w:r>
        <w:rPr>
          <w:szCs w:val="24"/>
        </w:rPr>
        <w:t xml:space="preserve"> </w:t>
      </w:r>
      <w:r w:rsidR="00C463FF">
        <w:rPr>
          <w:szCs w:val="24"/>
        </w:rPr>
        <w:t xml:space="preserve">the nature of the arguments on this ground </w:t>
      </w:r>
      <w:r w:rsidR="00981574">
        <w:rPr>
          <w:szCs w:val="24"/>
        </w:rPr>
        <w:t xml:space="preserve">illustrates the </w:t>
      </w:r>
      <w:r w:rsidR="001601FA">
        <w:rPr>
          <w:szCs w:val="24"/>
        </w:rPr>
        <w:t xml:space="preserve">point which I have made earlier </w:t>
      </w:r>
      <w:r w:rsidR="00981574">
        <w:rPr>
          <w:szCs w:val="24"/>
        </w:rPr>
        <w:t xml:space="preserve">that a focus on the </w:t>
      </w:r>
      <w:r w:rsidR="001601FA">
        <w:rPr>
          <w:szCs w:val="24"/>
        </w:rPr>
        <w:t>requirements</w:t>
      </w:r>
      <w:r w:rsidR="00981574">
        <w:rPr>
          <w:szCs w:val="24"/>
        </w:rPr>
        <w:t xml:space="preserve"> o</w:t>
      </w:r>
      <w:r w:rsidR="001601FA">
        <w:rPr>
          <w:szCs w:val="24"/>
        </w:rPr>
        <w:t>f</w:t>
      </w:r>
      <w:r w:rsidR="00981574">
        <w:rPr>
          <w:szCs w:val="24"/>
        </w:rPr>
        <w:t xml:space="preserve"> the PSED in the context of an individual </w:t>
      </w:r>
      <w:r w:rsidR="001601FA">
        <w:rPr>
          <w:szCs w:val="24"/>
        </w:rPr>
        <w:t>exclusion decision</w:t>
      </w:r>
      <w:r w:rsidR="00981574">
        <w:rPr>
          <w:szCs w:val="24"/>
        </w:rPr>
        <w:t xml:space="preserve"> is l</w:t>
      </w:r>
      <w:r w:rsidR="00C62941">
        <w:rPr>
          <w:szCs w:val="24"/>
        </w:rPr>
        <w:t xml:space="preserve">iable </w:t>
      </w:r>
      <w:r w:rsidR="00981574">
        <w:rPr>
          <w:szCs w:val="24"/>
        </w:rPr>
        <w:t xml:space="preserve">to be distracting </w:t>
      </w:r>
      <w:r w:rsidR="009F6527">
        <w:rPr>
          <w:szCs w:val="24"/>
        </w:rPr>
        <w:t xml:space="preserve">and </w:t>
      </w:r>
      <w:r w:rsidR="00C1225A">
        <w:rPr>
          <w:szCs w:val="24"/>
        </w:rPr>
        <w:t>unhelpful</w:t>
      </w:r>
      <w:r w:rsidR="004055DC">
        <w:rPr>
          <w:szCs w:val="24"/>
        </w:rPr>
        <w:t xml:space="preserve">.  </w:t>
      </w:r>
      <w:r w:rsidR="000668D4">
        <w:rPr>
          <w:szCs w:val="24"/>
        </w:rPr>
        <w:t xml:space="preserve">The </w:t>
      </w:r>
      <w:r w:rsidR="00E16662">
        <w:rPr>
          <w:szCs w:val="24"/>
        </w:rPr>
        <w:t>proper</w:t>
      </w:r>
      <w:r w:rsidR="000668D4">
        <w:rPr>
          <w:szCs w:val="24"/>
        </w:rPr>
        <w:t xml:space="preserve"> focus for the </w:t>
      </w:r>
      <w:r w:rsidR="00F038AC">
        <w:rPr>
          <w:szCs w:val="24"/>
        </w:rPr>
        <w:t>decision-ta</w:t>
      </w:r>
      <w:r w:rsidR="00C1225A">
        <w:rPr>
          <w:szCs w:val="24"/>
        </w:rPr>
        <w:t>k</w:t>
      </w:r>
      <w:r w:rsidR="00F038AC">
        <w:rPr>
          <w:szCs w:val="24"/>
        </w:rPr>
        <w:t>ers</w:t>
      </w:r>
      <w:r w:rsidR="00614E19">
        <w:rPr>
          <w:szCs w:val="24"/>
        </w:rPr>
        <w:t xml:space="preserve"> in this case</w:t>
      </w:r>
      <w:r w:rsidR="00D41F66">
        <w:rPr>
          <w:szCs w:val="24"/>
        </w:rPr>
        <w:t xml:space="preserve">, and </w:t>
      </w:r>
      <w:r w:rsidR="00DF79FC">
        <w:rPr>
          <w:szCs w:val="24"/>
        </w:rPr>
        <w:t>thus</w:t>
      </w:r>
      <w:r w:rsidR="00D41F66">
        <w:rPr>
          <w:szCs w:val="24"/>
        </w:rPr>
        <w:t xml:space="preserve"> also the </w:t>
      </w:r>
      <w:r w:rsidR="00DF79FC">
        <w:rPr>
          <w:szCs w:val="24"/>
        </w:rPr>
        <w:t>focus</w:t>
      </w:r>
      <w:r w:rsidR="00D41F66">
        <w:rPr>
          <w:szCs w:val="24"/>
        </w:rPr>
        <w:t xml:space="preserve"> of any challenge</w:t>
      </w:r>
      <w:r w:rsidR="00914C2E">
        <w:rPr>
          <w:szCs w:val="24"/>
        </w:rPr>
        <w:t xml:space="preserve"> to their decision</w:t>
      </w:r>
      <w:r w:rsidR="00D41F66">
        <w:rPr>
          <w:szCs w:val="24"/>
        </w:rPr>
        <w:t xml:space="preserve">, </w:t>
      </w:r>
      <w:r w:rsidR="00DF79FC">
        <w:rPr>
          <w:szCs w:val="24"/>
        </w:rPr>
        <w:t>was</w:t>
      </w:r>
      <w:r w:rsidR="00F038AC">
        <w:rPr>
          <w:szCs w:val="24"/>
        </w:rPr>
        <w:t xml:space="preserve"> on </w:t>
      </w:r>
      <w:r w:rsidR="00D54E05">
        <w:rPr>
          <w:szCs w:val="24"/>
        </w:rPr>
        <w:t xml:space="preserve">an assessment of </w:t>
      </w:r>
      <w:r w:rsidR="00F038AC">
        <w:rPr>
          <w:szCs w:val="24"/>
        </w:rPr>
        <w:t xml:space="preserve">the </w:t>
      </w:r>
      <w:r w:rsidR="001D1B48">
        <w:rPr>
          <w:szCs w:val="24"/>
        </w:rPr>
        <w:t xml:space="preserve">individual circumstances of </w:t>
      </w:r>
      <w:r w:rsidR="009D7B24">
        <w:rPr>
          <w:szCs w:val="24"/>
        </w:rPr>
        <w:t>TZB</w:t>
      </w:r>
      <w:r w:rsidR="00A73340">
        <w:rPr>
          <w:szCs w:val="24"/>
        </w:rPr>
        <w:t>’s</w:t>
      </w:r>
      <w:r w:rsidR="001D1B48">
        <w:rPr>
          <w:szCs w:val="24"/>
        </w:rPr>
        <w:t xml:space="preserve"> case –</w:t>
      </w:r>
      <w:r w:rsidR="00A73340">
        <w:rPr>
          <w:szCs w:val="24"/>
        </w:rPr>
        <w:t xml:space="preserve"> </w:t>
      </w:r>
      <w:r w:rsidR="00E16662">
        <w:rPr>
          <w:szCs w:val="24"/>
        </w:rPr>
        <w:t xml:space="preserve">what </w:t>
      </w:r>
      <w:r w:rsidR="00A73340">
        <w:rPr>
          <w:szCs w:val="24"/>
        </w:rPr>
        <w:t>he</w:t>
      </w:r>
      <w:r w:rsidR="00E16662">
        <w:rPr>
          <w:szCs w:val="24"/>
        </w:rPr>
        <w:t xml:space="preserve"> had done,</w:t>
      </w:r>
      <w:r w:rsidR="00D34686">
        <w:rPr>
          <w:szCs w:val="24"/>
        </w:rPr>
        <w:t xml:space="preserve"> the risk of harm to others (and to him) if he remained </w:t>
      </w:r>
      <w:r w:rsidR="009D7B24">
        <w:rPr>
          <w:szCs w:val="24"/>
        </w:rPr>
        <w:t>at the School</w:t>
      </w:r>
      <w:r w:rsidR="00A73340">
        <w:rPr>
          <w:szCs w:val="24"/>
        </w:rPr>
        <w:t xml:space="preserve">, </w:t>
      </w:r>
      <w:r w:rsidR="00037668">
        <w:rPr>
          <w:szCs w:val="24"/>
        </w:rPr>
        <w:t xml:space="preserve">and </w:t>
      </w:r>
      <w:r w:rsidR="00A73340">
        <w:rPr>
          <w:szCs w:val="24"/>
        </w:rPr>
        <w:t xml:space="preserve">any </w:t>
      </w:r>
      <w:r w:rsidR="00037668">
        <w:rPr>
          <w:szCs w:val="24"/>
        </w:rPr>
        <w:t xml:space="preserve">other </w:t>
      </w:r>
      <w:r w:rsidR="00B205EF">
        <w:rPr>
          <w:szCs w:val="24"/>
        </w:rPr>
        <w:t>particular</w:t>
      </w:r>
      <w:r w:rsidR="00A60EAE">
        <w:rPr>
          <w:szCs w:val="24"/>
        </w:rPr>
        <w:t xml:space="preserve"> </w:t>
      </w:r>
      <w:r w:rsidR="007904E6">
        <w:rPr>
          <w:szCs w:val="24"/>
        </w:rPr>
        <w:t>features</w:t>
      </w:r>
      <w:r w:rsidR="00B205EF">
        <w:rPr>
          <w:szCs w:val="24"/>
        </w:rPr>
        <w:t xml:space="preserve"> of his case</w:t>
      </w:r>
      <w:r w:rsidR="00DB421F">
        <w:rPr>
          <w:szCs w:val="24"/>
        </w:rPr>
        <w:t xml:space="preserve"> (</w:t>
      </w:r>
      <w:r w:rsidR="00D41F66">
        <w:rPr>
          <w:szCs w:val="24"/>
        </w:rPr>
        <w:t xml:space="preserve">which </w:t>
      </w:r>
      <w:r w:rsidR="00DB421F">
        <w:rPr>
          <w:szCs w:val="24"/>
        </w:rPr>
        <w:t>might in principle</w:t>
      </w:r>
      <w:r w:rsidR="007904E6">
        <w:rPr>
          <w:szCs w:val="24"/>
        </w:rPr>
        <w:t xml:space="preserve"> </w:t>
      </w:r>
      <w:r w:rsidR="003A485D">
        <w:rPr>
          <w:szCs w:val="24"/>
        </w:rPr>
        <w:t xml:space="preserve">include the fact that he came from a group which was at disproportionate risk of exclusion </w:t>
      </w:r>
      <w:r w:rsidR="00306579">
        <w:rPr>
          <w:szCs w:val="24"/>
        </w:rPr>
        <w:t>and/or any failures in his past support</w:t>
      </w:r>
      <w:r w:rsidR="00DB421F">
        <w:rPr>
          <w:szCs w:val="24"/>
        </w:rPr>
        <w:t xml:space="preserve"> – </w:t>
      </w:r>
      <w:r w:rsidR="00306579">
        <w:rPr>
          <w:szCs w:val="24"/>
        </w:rPr>
        <w:t>though as to this see para</w:t>
      </w:r>
      <w:r w:rsidR="00FB0C55">
        <w:rPr>
          <w:szCs w:val="24"/>
        </w:rPr>
        <w:t>s. 22-24</w:t>
      </w:r>
      <w:r w:rsidR="00306579">
        <w:rPr>
          <w:szCs w:val="24"/>
        </w:rPr>
        <w:t xml:space="preserve"> above)</w:t>
      </w:r>
      <w:r w:rsidR="00DB421F">
        <w:rPr>
          <w:szCs w:val="24"/>
        </w:rPr>
        <w:t>.  P</w:t>
      </w:r>
      <w:r w:rsidR="00986CC2">
        <w:rPr>
          <w:szCs w:val="24"/>
        </w:rPr>
        <w:t xml:space="preserve">ackaging </w:t>
      </w:r>
      <w:r w:rsidR="007D652D">
        <w:rPr>
          <w:szCs w:val="24"/>
        </w:rPr>
        <w:t xml:space="preserve">the necessary assessment </w:t>
      </w:r>
      <w:r w:rsidR="00986CC2">
        <w:rPr>
          <w:szCs w:val="24"/>
        </w:rPr>
        <w:t xml:space="preserve">as a </w:t>
      </w:r>
      <w:r w:rsidR="008F3848">
        <w:rPr>
          <w:szCs w:val="24"/>
        </w:rPr>
        <w:t>compliance with the requirements of the PSED adds nothing</w:t>
      </w:r>
      <w:r w:rsidR="00986CC2">
        <w:rPr>
          <w:szCs w:val="24"/>
        </w:rPr>
        <w:t xml:space="preserve"> of substance.</w:t>
      </w:r>
    </w:p>
    <w:p w14:paraId="4E7CDFA5" w14:textId="362DF293" w:rsidR="00613AA4" w:rsidRPr="00A03AF9" w:rsidRDefault="007471F2" w:rsidP="00972118">
      <w:pPr>
        <w:pStyle w:val="ParaLevel1"/>
        <w:numPr>
          <w:ilvl w:val="0"/>
          <w:numId w:val="0"/>
        </w:numPr>
        <w:rPr>
          <w:b/>
          <w:bCs/>
          <w:szCs w:val="24"/>
          <w:u w:val="single"/>
        </w:rPr>
      </w:pPr>
      <w:r w:rsidRPr="00A03AF9">
        <w:rPr>
          <w:b/>
          <w:bCs/>
          <w:szCs w:val="24"/>
          <w:u w:val="single"/>
        </w:rPr>
        <w:t>(</w:t>
      </w:r>
      <w:r w:rsidR="00A03AF9" w:rsidRPr="00A03AF9">
        <w:rPr>
          <w:b/>
          <w:bCs/>
          <w:szCs w:val="24"/>
          <w:u w:val="single"/>
        </w:rPr>
        <w:t xml:space="preserve">B)      </w:t>
      </w:r>
      <w:r w:rsidR="00CC2313">
        <w:rPr>
          <w:b/>
          <w:bCs/>
          <w:szCs w:val="24"/>
          <w:u w:val="single"/>
        </w:rPr>
        <w:t xml:space="preserve">THE </w:t>
      </w:r>
      <w:r w:rsidR="00A03AF9" w:rsidRPr="00A03AF9">
        <w:rPr>
          <w:b/>
          <w:bCs/>
          <w:szCs w:val="24"/>
          <w:u w:val="single"/>
        </w:rPr>
        <w:t>INADEQUATE REASONS</w:t>
      </w:r>
      <w:r w:rsidR="00CC2313">
        <w:rPr>
          <w:b/>
          <w:bCs/>
          <w:szCs w:val="24"/>
          <w:u w:val="single"/>
        </w:rPr>
        <w:t xml:space="preserve"> GROUND</w:t>
      </w:r>
    </w:p>
    <w:p w14:paraId="451E6003" w14:textId="7A914304" w:rsidR="00651996" w:rsidRPr="00651996" w:rsidRDefault="00651996" w:rsidP="00972118">
      <w:pPr>
        <w:pStyle w:val="ParaLevel1"/>
        <w:numPr>
          <w:ilvl w:val="0"/>
          <w:numId w:val="0"/>
        </w:numPr>
        <w:ind w:left="720" w:hanging="720"/>
        <w:rPr>
          <w:szCs w:val="24"/>
          <w:u w:val="single"/>
        </w:rPr>
      </w:pPr>
      <w:r w:rsidRPr="00651996">
        <w:rPr>
          <w:szCs w:val="24"/>
          <w:u w:val="single"/>
        </w:rPr>
        <w:t>INTRODUCTION</w:t>
      </w:r>
    </w:p>
    <w:p w14:paraId="65CB4595" w14:textId="286CEFE1" w:rsidR="00651996" w:rsidRDefault="00734CE2" w:rsidP="00972118">
      <w:pPr>
        <w:pStyle w:val="ParaLevel1"/>
      </w:pPr>
      <w:r>
        <w:t>As</w:t>
      </w:r>
      <w:r w:rsidR="00CD1FE0">
        <w:t xml:space="preserve"> we have seen, regulation 26 (2) required the GDC to </w:t>
      </w:r>
      <w:r w:rsidR="00932BF3">
        <w:t>notify the Claimant of its decision on the re</w:t>
      </w:r>
      <w:r w:rsidR="00CC3EE4">
        <w:t>consideration “and the reasons for it”</w:t>
      </w:r>
      <w:r w:rsidR="00010D63">
        <w:t xml:space="preserve">.  </w:t>
      </w:r>
      <w:r w:rsidR="000F5403">
        <w:t xml:space="preserve">It was the Claimant’s case before the Judge </w:t>
      </w:r>
      <w:r w:rsidR="00FB49A0">
        <w:t xml:space="preserve">that </w:t>
      </w:r>
      <w:r w:rsidR="004C7F39">
        <w:t xml:space="preserve">the </w:t>
      </w:r>
      <w:r w:rsidR="00911BF2">
        <w:t xml:space="preserve">GDP did not discharge </w:t>
      </w:r>
      <w:r w:rsidR="00010D63">
        <w:t xml:space="preserve">that duty </w:t>
      </w:r>
      <w:r w:rsidR="00C91D39">
        <w:t xml:space="preserve">because the </w:t>
      </w:r>
      <w:r w:rsidR="004C7F39">
        <w:t>minutes</w:t>
      </w:r>
      <w:r w:rsidR="00C91D39">
        <w:t>, which is where its reasons are to be found</w:t>
      </w:r>
      <w:r w:rsidR="001578C1">
        <w:t>,</w:t>
      </w:r>
      <w:r w:rsidR="00C91D39">
        <w:t xml:space="preserve"> </w:t>
      </w:r>
      <w:r w:rsidR="00BD3F18">
        <w:t>do not address the particular concerns identified by the IR</w:t>
      </w:r>
      <w:r w:rsidR="00911BF2">
        <w:t>P</w:t>
      </w:r>
      <w:r w:rsidR="00BD3F18">
        <w:t xml:space="preserve"> which caused it to recommend a reconsideration</w:t>
      </w:r>
      <w:r w:rsidR="00C91D39">
        <w:t>.</w:t>
      </w:r>
      <w:r w:rsidR="004C4001">
        <w:t xml:space="preserve"> </w:t>
      </w:r>
    </w:p>
    <w:p w14:paraId="1B5BEB6A" w14:textId="77777777" w:rsidR="00ED1C66" w:rsidRPr="00ED1C66" w:rsidRDefault="00EB2632" w:rsidP="00972118">
      <w:pPr>
        <w:pStyle w:val="ParaLevel1"/>
        <w:rPr>
          <w:szCs w:val="24"/>
        </w:rPr>
      </w:pPr>
      <w:r>
        <w:t>The IRP</w:t>
      </w:r>
      <w:r w:rsidR="00ED1C66">
        <w:t xml:space="preserve"> gives its reasons for recommending reconsideration at para. 9.5 of its Decision, where it says:</w:t>
      </w:r>
    </w:p>
    <w:p w14:paraId="6214D9EC" w14:textId="14618331" w:rsidR="00ED1C66" w:rsidRPr="00ED1C66" w:rsidRDefault="00E76D75" w:rsidP="00972118">
      <w:pPr>
        <w:pStyle w:val="ParaLevel1"/>
        <w:numPr>
          <w:ilvl w:val="0"/>
          <w:numId w:val="0"/>
        </w:numPr>
        <w:ind w:left="1418" w:right="793"/>
        <w:rPr>
          <w:szCs w:val="24"/>
        </w:rPr>
      </w:pPr>
      <w:r>
        <w:rPr>
          <w:szCs w:val="24"/>
        </w:rPr>
        <w:t>“</w:t>
      </w:r>
      <w:r w:rsidR="006F072B" w:rsidRPr="006F072B">
        <w:rPr>
          <w:szCs w:val="24"/>
        </w:rPr>
        <w:t xml:space="preserve">In considering this protracted </w:t>
      </w:r>
      <w:r>
        <w:rPr>
          <w:szCs w:val="24"/>
        </w:rPr>
        <w:t>A</w:t>
      </w:r>
      <w:r w:rsidR="006F072B" w:rsidRPr="006F072B">
        <w:rPr>
          <w:szCs w:val="24"/>
        </w:rPr>
        <w:t xml:space="preserve">ppeal the </w:t>
      </w:r>
      <w:r>
        <w:rPr>
          <w:szCs w:val="24"/>
        </w:rPr>
        <w:t>P</w:t>
      </w:r>
      <w:r w:rsidR="006F072B" w:rsidRPr="006F072B">
        <w:rPr>
          <w:szCs w:val="24"/>
        </w:rPr>
        <w:t xml:space="preserve">anel could not find any reason that was so compelling or of such magnitude that would merit quashing the permanent exclusion. However, there are sufficient reasons for the </w:t>
      </w:r>
      <w:r w:rsidRPr="006F072B">
        <w:rPr>
          <w:szCs w:val="24"/>
        </w:rPr>
        <w:t xml:space="preserve">Governing Body </w:t>
      </w:r>
      <w:r w:rsidR="006F072B" w:rsidRPr="006F072B">
        <w:rPr>
          <w:szCs w:val="24"/>
        </w:rPr>
        <w:t xml:space="preserve">to consider the reinstatement of </w:t>
      </w:r>
      <w:r>
        <w:rPr>
          <w:szCs w:val="24"/>
        </w:rPr>
        <w:t>[TZ</w:t>
      </w:r>
      <w:r w:rsidR="006F072B" w:rsidRPr="006F072B">
        <w:rPr>
          <w:szCs w:val="24"/>
        </w:rPr>
        <w:t>B</w:t>
      </w:r>
      <w:r w:rsidR="0010025C">
        <w:rPr>
          <w:szCs w:val="24"/>
        </w:rPr>
        <w:t>]</w:t>
      </w:r>
      <w:r w:rsidR="006F072B" w:rsidRPr="006F072B">
        <w:rPr>
          <w:szCs w:val="24"/>
        </w:rPr>
        <w:t xml:space="preserve"> (see para 8</w:t>
      </w:r>
      <w:r w:rsidR="0010025C">
        <w:rPr>
          <w:szCs w:val="24"/>
        </w:rPr>
        <w:t>).”</w:t>
      </w:r>
    </w:p>
    <w:p w14:paraId="3E3CFDB9" w14:textId="5AA07D9B" w:rsidR="00613AA4" w:rsidRPr="008E5577" w:rsidRDefault="00C50B25" w:rsidP="00972118">
      <w:pPr>
        <w:pStyle w:val="ParaLevel1"/>
        <w:numPr>
          <w:ilvl w:val="0"/>
          <w:numId w:val="0"/>
        </w:numPr>
        <w:ind w:left="720"/>
        <w:rPr>
          <w:szCs w:val="24"/>
        </w:rPr>
      </w:pPr>
      <w:r>
        <w:t xml:space="preserve">Although the IRP </w:t>
      </w:r>
      <w:r w:rsidR="007867A5">
        <w:t xml:space="preserve">there says that its reasons for recommending reconsideration are to be found in </w:t>
      </w:r>
      <w:r w:rsidR="00F366B5">
        <w:t xml:space="preserve">“para 8” of its Decision, that section </w:t>
      </w:r>
      <w:r w:rsidR="00472B6C">
        <w:t xml:space="preserve">runs over two pages, comprising </w:t>
      </w:r>
      <w:r w:rsidR="00F366B5">
        <w:t>numerous paragraphs</w:t>
      </w:r>
      <w:r w:rsidR="00472B6C">
        <w:t xml:space="preserve">.  It contains various criticisms of </w:t>
      </w:r>
      <w:r w:rsidR="0020780E">
        <w:t>the approach taken by the Hea</w:t>
      </w:r>
      <w:r w:rsidR="00CD320D">
        <w:t>d</w:t>
      </w:r>
      <w:r w:rsidR="0020780E">
        <w:t>teacher and/or the GDC</w:t>
      </w:r>
      <w:r w:rsidR="00CD320D">
        <w:t xml:space="preserve">, but there is no definitive list.  </w:t>
      </w:r>
      <w:r w:rsidR="0020780E">
        <w:t xml:space="preserve"> </w:t>
      </w:r>
      <w:r w:rsidR="00F366B5">
        <w:t xml:space="preserve"> </w:t>
      </w:r>
      <w:r w:rsidR="00510F74">
        <w:t xml:space="preserve">That needs to be borne in mind in </w:t>
      </w:r>
      <w:r w:rsidR="007C4A12">
        <w:t xml:space="preserve">considering exactly what points the GDC should </w:t>
      </w:r>
      <w:r w:rsidR="00390E4C">
        <w:t xml:space="preserve">have </w:t>
      </w:r>
      <w:r w:rsidR="007C4A12">
        <w:t>be</w:t>
      </w:r>
      <w:r w:rsidR="00390E4C">
        <w:t>en</w:t>
      </w:r>
      <w:r w:rsidR="007C4A12">
        <w:t xml:space="preserve"> expected explicitly to address in its reconsideration.  </w:t>
      </w:r>
      <w:r w:rsidR="007D4937">
        <w:t xml:space="preserve">But </w:t>
      </w:r>
      <w:r w:rsidR="00B91BB2" w:rsidRPr="008E5577">
        <w:rPr>
          <w:szCs w:val="24"/>
        </w:rPr>
        <w:t xml:space="preserve">the Judge </w:t>
      </w:r>
      <w:r w:rsidR="007D4937">
        <w:rPr>
          <w:szCs w:val="24"/>
        </w:rPr>
        <w:t xml:space="preserve">produced a helpful summary </w:t>
      </w:r>
      <w:r w:rsidR="00B91BB2" w:rsidRPr="008E5577">
        <w:rPr>
          <w:szCs w:val="24"/>
        </w:rPr>
        <w:t xml:space="preserve">in para. 88 of </w:t>
      </w:r>
      <w:r w:rsidR="007132C6">
        <w:rPr>
          <w:szCs w:val="24"/>
        </w:rPr>
        <w:t>his</w:t>
      </w:r>
      <w:r w:rsidR="00B91BB2" w:rsidRPr="008E5577">
        <w:rPr>
          <w:szCs w:val="24"/>
        </w:rPr>
        <w:t xml:space="preserve"> judgment</w:t>
      </w:r>
      <w:r w:rsidR="007D4937">
        <w:rPr>
          <w:szCs w:val="24"/>
        </w:rPr>
        <w:t xml:space="preserve">, </w:t>
      </w:r>
      <w:r w:rsidR="003E05D2">
        <w:rPr>
          <w:szCs w:val="24"/>
        </w:rPr>
        <w:t xml:space="preserve">on </w:t>
      </w:r>
      <w:r w:rsidR="007D4937">
        <w:rPr>
          <w:szCs w:val="24"/>
        </w:rPr>
        <w:t xml:space="preserve">which </w:t>
      </w:r>
      <w:r w:rsidR="003E05D2">
        <w:rPr>
          <w:szCs w:val="24"/>
        </w:rPr>
        <w:t>both counsel before us based their submissions.  This reads</w:t>
      </w:r>
      <w:r w:rsidR="00B91BB2" w:rsidRPr="008E5577">
        <w:rPr>
          <w:szCs w:val="24"/>
        </w:rPr>
        <w:t>:</w:t>
      </w:r>
    </w:p>
    <w:p w14:paraId="42136ACA" w14:textId="6579E891" w:rsidR="00B91BB2" w:rsidRPr="00C17621" w:rsidRDefault="0057173E" w:rsidP="00972118">
      <w:pPr>
        <w:pStyle w:val="NormalWeb"/>
        <w:ind w:left="1287" w:right="793" w:hanging="567"/>
        <w:jc w:val="both"/>
        <w:rPr>
          <w:color w:val="000000"/>
        </w:rPr>
      </w:pPr>
      <w:r w:rsidRPr="00C17621">
        <w:rPr>
          <w:color w:val="000000"/>
        </w:rPr>
        <w:t>“</w:t>
      </w:r>
      <w:r w:rsidR="009552F3" w:rsidRPr="00C17621">
        <w:rPr>
          <w:color w:val="000000"/>
        </w:rPr>
        <w:t>(</w:t>
      </w:r>
      <w:r w:rsidR="00B91BB2" w:rsidRPr="00C17621">
        <w:rPr>
          <w:color w:val="000000"/>
        </w:rPr>
        <w:t xml:space="preserve">i) </w:t>
      </w:r>
      <w:r w:rsidR="007C74CB" w:rsidRPr="00C17621">
        <w:rPr>
          <w:color w:val="000000"/>
        </w:rPr>
        <w:tab/>
      </w:r>
      <w:bookmarkStart w:id="25" w:name="_Hlk190506263"/>
      <w:r w:rsidR="00B91BB2" w:rsidRPr="00C17621">
        <w:rPr>
          <w:color w:val="000000"/>
        </w:rPr>
        <w:t xml:space="preserve">the GDC failed to test whether the permanent exclusion was for a </w:t>
      </w:r>
      <w:r w:rsidRPr="00C17621">
        <w:rPr>
          <w:color w:val="000000"/>
        </w:rPr>
        <w:t>‘</w:t>
      </w:r>
      <w:r w:rsidR="00B91BB2" w:rsidRPr="00C17621">
        <w:rPr>
          <w:color w:val="000000"/>
        </w:rPr>
        <w:t>serious</w:t>
      </w:r>
      <w:r w:rsidRPr="00C17621">
        <w:rPr>
          <w:color w:val="000000"/>
        </w:rPr>
        <w:t>’</w:t>
      </w:r>
      <w:r w:rsidR="00B91BB2" w:rsidRPr="00C17621">
        <w:rPr>
          <w:color w:val="000000"/>
        </w:rPr>
        <w:t xml:space="preserve"> breach or for </w:t>
      </w:r>
      <w:r w:rsidRPr="00C17621">
        <w:rPr>
          <w:color w:val="000000"/>
        </w:rPr>
        <w:t>‘</w:t>
      </w:r>
      <w:r w:rsidR="00B91BB2" w:rsidRPr="00C17621">
        <w:rPr>
          <w:color w:val="000000"/>
        </w:rPr>
        <w:t>persistent</w:t>
      </w:r>
      <w:r w:rsidRPr="00C17621">
        <w:rPr>
          <w:color w:val="000000"/>
        </w:rPr>
        <w:t>’</w:t>
      </w:r>
      <w:r w:rsidR="00B91BB2" w:rsidRPr="00C17621">
        <w:rPr>
          <w:color w:val="000000"/>
        </w:rPr>
        <w:t xml:space="preserve"> breaches of the School</w:t>
      </w:r>
      <w:r w:rsidRPr="00C17621">
        <w:rPr>
          <w:color w:val="000000"/>
        </w:rPr>
        <w:t>’</w:t>
      </w:r>
      <w:r w:rsidR="00B91BB2" w:rsidRPr="00C17621">
        <w:rPr>
          <w:color w:val="000000"/>
        </w:rPr>
        <w:t>s behaviour policy (see paragraph [8.1]) of the IRP Decision</w:t>
      </w:r>
      <w:bookmarkEnd w:id="25"/>
      <w:r w:rsidR="00B91BB2" w:rsidRPr="00C17621">
        <w:rPr>
          <w:color w:val="000000"/>
        </w:rPr>
        <w:t>);</w:t>
      </w:r>
    </w:p>
    <w:p w14:paraId="7DF4AD48" w14:textId="17077579" w:rsidR="00B91BB2" w:rsidRPr="00C17621" w:rsidRDefault="00CB768F" w:rsidP="00972118">
      <w:pPr>
        <w:pStyle w:val="NormalWeb"/>
        <w:ind w:left="1287" w:right="793" w:hanging="567"/>
        <w:jc w:val="both"/>
        <w:rPr>
          <w:color w:val="000000"/>
        </w:rPr>
      </w:pPr>
      <w:r w:rsidRPr="00C17621">
        <w:rPr>
          <w:color w:val="000000"/>
        </w:rPr>
        <w:t>(</w:t>
      </w:r>
      <w:r w:rsidR="00B91BB2" w:rsidRPr="00C17621">
        <w:rPr>
          <w:color w:val="000000"/>
        </w:rPr>
        <w:t>ii)</w:t>
      </w:r>
      <w:r w:rsidR="007C74CB" w:rsidRPr="00C17621">
        <w:rPr>
          <w:color w:val="000000"/>
        </w:rPr>
        <w:tab/>
      </w:r>
      <w:bookmarkStart w:id="26" w:name="_Hlk190526038"/>
      <w:r w:rsidR="00B91BB2" w:rsidRPr="00C17621">
        <w:rPr>
          <w:color w:val="000000"/>
        </w:rPr>
        <w:t>the GDC did not test what [TZB</w:t>
      </w:r>
      <w:r w:rsidR="00F11E9B">
        <w:rPr>
          <w:color w:val="000000"/>
        </w:rPr>
        <w:t>’s</w:t>
      </w:r>
      <w:r w:rsidR="00B91BB2" w:rsidRPr="00C17621">
        <w:rPr>
          <w:color w:val="000000"/>
        </w:rPr>
        <w:t>] status was in the school prior to exclusion, contrary to paragraph [14] of the Department for Education</w:t>
      </w:r>
      <w:r w:rsidR="00B52DA8">
        <w:rPr>
          <w:color w:val="000000"/>
        </w:rPr>
        <w:t>’</w:t>
      </w:r>
      <w:r w:rsidR="00B91BB2" w:rsidRPr="00C17621">
        <w:rPr>
          <w:color w:val="000000"/>
        </w:rPr>
        <w:t>s guidance (see paragraph [8.2]) of the IRP Decision);</w:t>
      </w:r>
    </w:p>
    <w:p w14:paraId="2EA8A48F" w14:textId="769042EC" w:rsidR="00B91BB2" w:rsidRPr="00C17621" w:rsidRDefault="004E1DF7" w:rsidP="00972118">
      <w:pPr>
        <w:pStyle w:val="NormalWeb"/>
        <w:ind w:left="1287" w:right="793" w:hanging="567"/>
        <w:jc w:val="both"/>
        <w:rPr>
          <w:color w:val="000000"/>
        </w:rPr>
      </w:pPr>
      <w:r w:rsidRPr="00C17621">
        <w:rPr>
          <w:color w:val="000000"/>
        </w:rPr>
        <w:t>(</w:t>
      </w:r>
      <w:r w:rsidR="00B91BB2" w:rsidRPr="00C17621">
        <w:rPr>
          <w:color w:val="000000"/>
        </w:rPr>
        <w:t>iii)</w:t>
      </w:r>
      <w:r w:rsidR="007C74CB" w:rsidRPr="00C17621">
        <w:rPr>
          <w:color w:val="000000"/>
        </w:rPr>
        <w:tab/>
      </w:r>
      <w:r w:rsidR="00B91BB2" w:rsidRPr="00C17621">
        <w:rPr>
          <w:color w:val="000000"/>
        </w:rPr>
        <w:t>the GDC did not ascertain why the Headteacher had not given the family an opportunity to present their case before the decision to permanently exclude was made, contrary to paragraph [17] of the Department for Education</w:t>
      </w:r>
      <w:r w:rsidR="00027772" w:rsidRPr="00C17621">
        <w:rPr>
          <w:color w:val="000000"/>
        </w:rPr>
        <w:t>’</w:t>
      </w:r>
      <w:r w:rsidR="00B91BB2" w:rsidRPr="00C17621">
        <w:rPr>
          <w:color w:val="000000"/>
        </w:rPr>
        <w:t>s guidance (see paragraph [8.2]) of the IRP Decision);</w:t>
      </w:r>
    </w:p>
    <w:bookmarkEnd w:id="26"/>
    <w:p w14:paraId="16BDD01A" w14:textId="16F893C8" w:rsidR="00B91BB2" w:rsidRPr="00C17621" w:rsidRDefault="00027772" w:rsidP="00972118">
      <w:pPr>
        <w:pStyle w:val="NormalWeb"/>
        <w:ind w:left="1287" w:right="793" w:hanging="567"/>
        <w:jc w:val="both"/>
        <w:rPr>
          <w:color w:val="000000"/>
        </w:rPr>
      </w:pPr>
      <w:r w:rsidRPr="00C17621">
        <w:rPr>
          <w:color w:val="000000"/>
        </w:rPr>
        <w:t>(</w:t>
      </w:r>
      <w:r w:rsidR="00B91BB2" w:rsidRPr="00C17621">
        <w:rPr>
          <w:color w:val="000000"/>
        </w:rPr>
        <w:t>iv)</w:t>
      </w:r>
      <w:r w:rsidR="007C74CB" w:rsidRPr="00C17621">
        <w:rPr>
          <w:color w:val="000000"/>
        </w:rPr>
        <w:tab/>
      </w:r>
      <w:r w:rsidR="00B91BB2" w:rsidRPr="00C17621">
        <w:rPr>
          <w:color w:val="000000"/>
        </w:rPr>
        <w:t>in relation to the second incident relied upon by the School, that the GDC had not noticed the reference in the family</w:t>
      </w:r>
      <w:r w:rsidRPr="00C17621">
        <w:rPr>
          <w:color w:val="000000"/>
        </w:rPr>
        <w:t>’</w:t>
      </w:r>
      <w:r w:rsidR="00B91BB2" w:rsidRPr="00C17621">
        <w:rPr>
          <w:color w:val="000000"/>
        </w:rPr>
        <w:t xml:space="preserve">s submission to the criminal case in respect of it having been dropped, and had not scrutinised it at the hearing or recorded it in the minutes was </w:t>
      </w:r>
      <w:r w:rsidRPr="00C17621">
        <w:rPr>
          <w:color w:val="000000"/>
        </w:rPr>
        <w:t>‘</w:t>
      </w:r>
      <w:r w:rsidR="00B91BB2" w:rsidRPr="00C17621">
        <w:rPr>
          <w:color w:val="000000"/>
        </w:rPr>
        <w:t>unreasonable</w:t>
      </w:r>
      <w:r w:rsidRPr="00C17621">
        <w:rPr>
          <w:color w:val="000000"/>
        </w:rPr>
        <w:t>’</w:t>
      </w:r>
      <w:r w:rsidR="00B91BB2" w:rsidRPr="00C17621">
        <w:rPr>
          <w:color w:val="000000"/>
        </w:rPr>
        <w:t xml:space="preserve"> (see paragraph [8.3]) of the IRP Decision);</w:t>
      </w:r>
    </w:p>
    <w:p w14:paraId="0AE53A3C" w14:textId="0A652A2C" w:rsidR="00B91BB2" w:rsidRPr="00C17621" w:rsidRDefault="00027772" w:rsidP="00972118">
      <w:pPr>
        <w:pStyle w:val="NormalWeb"/>
        <w:ind w:left="1287" w:right="793" w:hanging="567"/>
        <w:jc w:val="both"/>
        <w:rPr>
          <w:color w:val="000000"/>
        </w:rPr>
      </w:pPr>
      <w:r w:rsidRPr="00C17621">
        <w:rPr>
          <w:color w:val="000000"/>
        </w:rPr>
        <w:t>(</w:t>
      </w:r>
      <w:r w:rsidR="00B91BB2" w:rsidRPr="00C17621">
        <w:rPr>
          <w:color w:val="000000"/>
        </w:rPr>
        <w:t>v)</w:t>
      </w:r>
      <w:r w:rsidR="007C74CB" w:rsidRPr="00C17621">
        <w:rPr>
          <w:color w:val="000000"/>
        </w:rPr>
        <w:tab/>
      </w:r>
      <w:bookmarkStart w:id="27" w:name="_Hlk190276932"/>
      <w:r w:rsidR="00B91BB2" w:rsidRPr="00C17621">
        <w:rPr>
          <w:color w:val="000000"/>
        </w:rPr>
        <w:t xml:space="preserve">it was </w:t>
      </w:r>
      <w:r w:rsidRPr="00C17621">
        <w:rPr>
          <w:color w:val="000000"/>
        </w:rPr>
        <w:t>‘</w:t>
      </w:r>
      <w:r w:rsidR="00B91BB2" w:rsidRPr="00C17621">
        <w:rPr>
          <w:color w:val="000000"/>
        </w:rPr>
        <w:t>unreasonable</w:t>
      </w:r>
      <w:r w:rsidRPr="00C17621">
        <w:rPr>
          <w:color w:val="000000"/>
        </w:rPr>
        <w:t>’</w:t>
      </w:r>
      <w:r w:rsidR="00B91BB2" w:rsidRPr="00C17621">
        <w:rPr>
          <w:color w:val="000000"/>
        </w:rPr>
        <w:t xml:space="preserve"> for the GDC to fail to test whether a review was undertaken (in accordance with paragraph 19 of the Department for Education</w:t>
      </w:r>
      <w:r w:rsidR="00E06578" w:rsidRPr="00C17621">
        <w:rPr>
          <w:color w:val="000000"/>
        </w:rPr>
        <w:t>’</w:t>
      </w:r>
      <w:r w:rsidR="00B91BB2" w:rsidRPr="00C17621">
        <w:rPr>
          <w:color w:val="000000"/>
        </w:rPr>
        <w:t>s guidance) after each fixed term exclusion nor a formal assessment of TZB</w:t>
      </w:r>
      <w:r w:rsidR="00E06578" w:rsidRPr="00C17621">
        <w:rPr>
          <w:color w:val="000000"/>
        </w:rPr>
        <w:t>’</w:t>
      </w:r>
      <w:r w:rsidR="00B91BB2" w:rsidRPr="00C17621">
        <w:rPr>
          <w:color w:val="000000"/>
        </w:rPr>
        <w:t>s social, emotional and mental health, and whether more could be done</w:t>
      </w:r>
      <w:r w:rsidR="00E06578" w:rsidRPr="00C17621">
        <w:rPr>
          <w:color w:val="000000"/>
        </w:rPr>
        <w:t>’</w:t>
      </w:r>
      <w:r w:rsidR="00B91BB2" w:rsidRPr="00C17621">
        <w:rPr>
          <w:color w:val="000000"/>
        </w:rPr>
        <w:t xml:space="preserve"> </w:t>
      </w:r>
      <w:bookmarkEnd w:id="27"/>
      <w:r w:rsidR="00B91BB2" w:rsidRPr="00C17621">
        <w:rPr>
          <w:color w:val="000000"/>
        </w:rPr>
        <w:t>(see paragraph [8.5]) of the IRP Decision); and</w:t>
      </w:r>
    </w:p>
    <w:p w14:paraId="16F7B989" w14:textId="1B28FA68" w:rsidR="00B91BB2" w:rsidRPr="00C17621" w:rsidRDefault="00E06578" w:rsidP="00972118">
      <w:pPr>
        <w:pStyle w:val="NormalWeb"/>
        <w:ind w:left="1287" w:right="793" w:hanging="567"/>
        <w:jc w:val="both"/>
        <w:rPr>
          <w:color w:val="000000"/>
        </w:rPr>
      </w:pPr>
      <w:r w:rsidRPr="00C17621">
        <w:rPr>
          <w:color w:val="000000"/>
        </w:rPr>
        <w:t>(</w:t>
      </w:r>
      <w:r w:rsidR="00B91BB2" w:rsidRPr="00C17621">
        <w:rPr>
          <w:color w:val="000000"/>
        </w:rPr>
        <w:t>vi)</w:t>
      </w:r>
      <w:r w:rsidR="007C74CB" w:rsidRPr="00C17621">
        <w:rPr>
          <w:color w:val="000000"/>
        </w:rPr>
        <w:tab/>
      </w:r>
      <w:r w:rsidR="00B91BB2" w:rsidRPr="00C17621">
        <w:rPr>
          <w:color w:val="000000"/>
        </w:rPr>
        <w:t>the GDC failed to consider the fact that TZB was due to sit his GCSEs shortly after his permanent exclusion, which was relevant to the issue of proportionality, and which may have made a long fixed term exclusion more appropriate (see paragraph [8]) of the IRP Decision)</w:t>
      </w:r>
      <w:r w:rsidRPr="00C17621">
        <w:rPr>
          <w:color w:val="000000"/>
        </w:rPr>
        <w:t>.</w:t>
      </w:r>
      <w:r w:rsidR="006E2A3A" w:rsidRPr="00C17621">
        <w:rPr>
          <w:color w:val="000000"/>
        </w:rPr>
        <w:t>”</w:t>
      </w:r>
    </w:p>
    <w:p w14:paraId="165D5176" w14:textId="7CDE29E4" w:rsidR="00BA09F5" w:rsidRDefault="00BA09F5" w:rsidP="00972118">
      <w:pPr>
        <w:pStyle w:val="ParaLevel1"/>
        <w:numPr>
          <w:ilvl w:val="0"/>
          <w:numId w:val="0"/>
        </w:numPr>
        <w:ind w:left="720"/>
        <w:rPr>
          <w:szCs w:val="24"/>
        </w:rPr>
      </w:pPr>
      <w:r>
        <w:rPr>
          <w:szCs w:val="24"/>
        </w:rPr>
        <w:t xml:space="preserve">The </w:t>
      </w:r>
      <w:r w:rsidR="00DA0FEF">
        <w:rPr>
          <w:szCs w:val="24"/>
        </w:rPr>
        <w:t xml:space="preserve">language of “unreasonableness” in connection with concerns (iv) and (v) reads rather oddly, but it reflects the fact that the question which the IRP was addressing in this part of section 8 was framed </w:t>
      </w:r>
      <w:r w:rsidR="00390E4C">
        <w:rPr>
          <w:szCs w:val="24"/>
        </w:rPr>
        <w:t xml:space="preserve">by it </w:t>
      </w:r>
      <w:r w:rsidR="00DA0FEF">
        <w:rPr>
          <w:szCs w:val="24"/>
        </w:rPr>
        <w:t xml:space="preserve">in terms of the </w:t>
      </w:r>
      <w:r w:rsidR="00DA0FEF" w:rsidRPr="00DA0FEF">
        <w:rPr>
          <w:i/>
          <w:iCs/>
          <w:szCs w:val="24"/>
        </w:rPr>
        <w:t>Wednesbury</w:t>
      </w:r>
      <w:r w:rsidR="00DA0FEF">
        <w:rPr>
          <w:szCs w:val="24"/>
        </w:rPr>
        <w:t xml:space="preserve"> test. </w:t>
      </w:r>
    </w:p>
    <w:p w14:paraId="63C28456" w14:textId="77777777" w:rsidR="00DA0FEF" w:rsidRPr="00390846" w:rsidRDefault="00DA0FEF" w:rsidP="00972118">
      <w:pPr>
        <w:pStyle w:val="ParaLevel1"/>
        <w:keepNext/>
        <w:numPr>
          <w:ilvl w:val="0"/>
          <w:numId w:val="0"/>
        </w:numPr>
        <w:ind w:left="720" w:hanging="720"/>
        <w:rPr>
          <w:szCs w:val="24"/>
          <w:u w:val="single"/>
        </w:rPr>
      </w:pPr>
      <w:r>
        <w:rPr>
          <w:szCs w:val="24"/>
          <w:u w:val="single"/>
        </w:rPr>
        <w:t>THE MINUTES</w:t>
      </w:r>
    </w:p>
    <w:p w14:paraId="16FB7094" w14:textId="6855A800" w:rsidR="00D77436" w:rsidRDefault="00DA0FEF" w:rsidP="00972118">
      <w:pPr>
        <w:pStyle w:val="ParaLevel1"/>
        <w:keepNext/>
        <w:rPr>
          <w:szCs w:val="24"/>
        </w:rPr>
      </w:pPr>
      <w:r>
        <w:rPr>
          <w:szCs w:val="24"/>
        </w:rPr>
        <w:t>A</w:t>
      </w:r>
      <w:r w:rsidR="000A1F8C">
        <w:rPr>
          <w:szCs w:val="24"/>
        </w:rPr>
        <w:t xml:space="preserve">s noted at para. </w:t>
      </w:r>
      <w:r w:rsidR="00FF0704">
        <w:rPr>
          <w:szCs w:val="24"/>
        </w:rPr>
        <w:t>55</w:t>
      </w:r>
      <w:r w:rsidR="000A1F8C">
        <w:rPr>
          <w:szCs w:val="24"/>
        </w:rPr>
        <w:t xml:space="preserve"> above, the </w:t>
      </w:r>
      <w:r w:rsidR="00B615D3">
        <w:rPr>
          <w:szCs w:val="24"/>
        </w:rPr>
        <w:t xml:space="preserve">first part of the reconsideration meeting </w:t>
      </w:r>
      <w:r w:rsidR="003D0738">
        <w:rPr>
          <w:szCs w:val="24"/>
        </w:rPr>
        <w:t xml:space="preserve">consisted of a discussion between the members of the </w:t>
      </w:r>
      <w:r w:rsidR="005D1739">
        <w:rPr>
          <w:szCs w:val="24"/>
        </w:rPr>
        <w:t>GDC</w:t>
      </w:r>
      <w:r w:rsidR="003D0738">
        <w:rPr>
          <w:szCs w:val="24"/>
        </w:rPr>
        <w:t xml:space="preserve"> of</w:t>
      </w:r>
      <w:r w:rsidR="00857BBB" w:rsidRPr="00EA219A">
        <w:rPr>
          <w:szCs w:val="24"/>
        </w:rPr>
        <w:t xml:space="preserve"> the reasons why the IRP had recommended reconsideration</w:t>
      </w:r>
      <w:r w:rsidR="00D77436">
        <w:rPr>
          <w:szCs w:val="24"/>
        </w:rPr>
        <w:t>.  The minutes of that part of the meeting read</w:t>
      </w:r>
      <w:r w:rsidR="00C443F5">
        <w:rPr>
          <w:szCs w:val="24"/>
        </w:rPr>
        <w:t xml:space="preserve"> </w:t>
      </w:r>
      <w:r w:rsidR="00255A96">
        <w:rPr>
          <w:szCs w:val="24"/>
        </w:rPr>
        <w:t xml:space="preserve">as follows </w:t>
      </w:r>
      <w:r w:rsidR="00C443F5">
        <w:rPr>
          <w:szCs w:val="24"/>
        </w:rPr>
        <w:t>(I have added paragraph numbers for ease of reference</w:t>
      </w:r>
      <w:r w:rsidR="00906A40">
        <w:rPr>
          <w:szCs w:val="24"/>
        </w:rPr>
        <w:t>)</w:t>
      </w:r>
      <w:r w:rsidR="00D77436">
        <w:rPr>
          <w:szCs w:val="24"/>
        </w:rPr>
        <w:t>:</w:t>
      </w:r>
    </w:p>
    <w:p w14:paraId="2EB63F14" w14:textId="1A77F7F2" w:rsidR="00C443F5" w:rsidRDefault="00B11A8E" w:rsidP="00972118">
      <w:pPr>
        <w:pStyle w:val="ParaLevel1"/>
        <w:numPr>
          <w:ilvl w:val="0"/>
          <w:numId w:val="0"/>
        </w:numPr>
        <w:ind w:left="1418" w:right="793"/>
        <w:rPr>
          <w:szCs w:val="24"/>
        </w:rPr>
      </w:pPr>
      <w:r>
        <w:rPr>
          <w:szCs w:val="24"/>
        </w:rPr>
        <w:t>“</w:t>
      </w:r>
      <w:r w:rsidR="00906A40">
        <w:rPr>
          <w:szCs w:val="24"/>
        </w:rPr>
        <w:t xml:space="preserve">[1]  </w:t>
      </w:r>
      <w:r w:rsidRPr="00B11A8E">
        <w:rPr>
          <w:szCs w:val="24"/>
        </w:rPr>
        <w:t xml:space="preserve">The Panel agreed the documents which had been circulated in advance of this meeting, they also discussed the reasons that the IRP had recommended that the Panel review their decision. </w:t>
      </w:r>
    </w:p>
    <w:p w14:paraId="403A4460" w14:textId="77777777" w:rsidR="00990F12" w:rsidRDefault="00906A40" w:rsidP="00972118">
      <w:pPr>
        <w:pStyle w:val="ParaLevel1"/>
        <w:numPr>
          <w:ilvl w:val="0"/>
          <w:numId w:val="0"/>
        </w:numPr>
        <w:ind w:left="1418" w:right="793"/>
        <w:rPr>
          <w:szCs w:val="24"/>
        </w:rPr>
      </w:pPr>
      <w:r>
        <w:rPr>
          <w:szCs w:val="24"/>
        </w:rPr>
        <w:t xml:space="preserve">[2]  [The Chair] </w:t>
      </w:r>
      <w:r w:rsidR="00B11A8E" w:rsidRPr="00B11A8E">
        <w:rPr>
          <w:szCs w:val="24"/>
        </w:rPr>
        <w:t xml:space="preserve">commented that the IRP had stated that the Panel had not considered whether </w:t>
      </w:r>
      <w:r w:rsidR="00E47056">
        <w:rPr>
          <w:szCs w:val="24"/>
        </w:rPr>
        <w:t>[TZB]</w:t>
      </w:r>
      <w:r w:rsidR="00B11A8E" w:rsidRPr="00B11A8E">
        <w:rPr>
          <w:szCs w:val="24"/>
        </w:rPr>
        <w:t xml:space="preserve"> would miss examinations because of the exclusion.  She added that she believed that the Panel had considered this but it had not been recorded in the minutes, (panel members confirmed that this had been discussed at the original GDC meeting).  </w:t>
      </w:r>
      <w:r w:rsidR="00E47056">
        <w:rPr>
          <w:szCs w:val="24"/>
        </w:rPr>
        <w:t xml:space="preserve">[The Chair] </w:t>
      </w:r>
      <w:r w:rsidR="00B11A8E" w:rsidRPr="00B11A8E">
        <w:rPr>
          <w:szCs w:val="24"/>
        </w:rPr>
        <w:t xml:space="preserve">added this had slipped her mind at the time of the IRP as the GDC had been held eight months previously and due to the level of questioning aimed at her she had failed to recall the discussion.  </w:t>
      </w:r>
    </w:p>
    <w:p w14:paraId="116D1E39" w14:textId="5B71CCA9" w:rsidR="00771423" w:rsidRDefault="00990F12" w:rsidP="00972118">
      <w:pPr>
        <w:pStyle w:val="ParaLevel1"/>
        <w:numPr>
          <w:ilvl w:val="0"/>
          <w:numId w:val="0"/>
        </w:numPr>
        <w:ind w:left="1418" w:right="793"/>
        <w:rPr>
          <w:szCs w:val="24"/>
        </w:rPr>
      </w:pPr>
      <w:r>
        <w:rPr>
          <w:szCs w:val="24"/>
        </w:rPr>
        <w:t xml:space="preserve">[3]  </w:t>
      </w:r>
      <w:r w:rsidR="00B11A8E" w:rsidRPr="00B11A8E">
        <w:rPr>
          <w:szCs w:val="24"/>
        </w:rPr>
        <w:t xml:space="preserve">It was also commented that the IRP had stated that </w:t>
      </w:r>
      <w:r>
        <w:rPr>
          <w:szCs w:val="24"/>
        </w:rPr>
        <w:t>[one of the panel members]</w:t>
      </w:r>
      <w:r w:rsidR="00B11A8E" w:rsidRPr="00B11A8E">
        <w:rPr>
          <w:szCs w:val="24"/>
        </w:rPr>
        <w:t xml:space="preserve"> had abstained from voting because she felt that </w:t>
      </w:r>
      <w:r>
        <w:rPr>
          <w:szCs w:val="24"/>
        </w:rPr>
        <w:t>[TZB]</w:t>
      </w:r>
      <w:r w:rsidR="00B11A8E" w:rsidRPr="00B11A8E">
        <w:rPr>
          <w:szCs w:val="24"/>
        </w:rPr>
        <w:t xml:space="preserve"> should be given a second chance.  The reasons that </w:t>
      </w:r>
      <w:r>
        <w:rPr>
          <w:szCs w:val="24"/>
        </w:rPr>
        <w:t>[she]</w:t>
      </w:r>
      <w:r w:rsidR="00B11A8E" w:rsidRPr="00B11A8E">
        <w:rPr>
          <w:szCs w:val="24"/>
        </w:rPr>
        <w:t xml:space="preserve"> had abstained was because she had been concerned about his exams.</w:t>
      </w:r>
      <w:r w:rsidR="005D5D02">
        <w:rPr>
          <w:szCs w:val="24"/>
        </w:rPr>
        <w:t xml:space="preserve">  </w:t>
      </w:r>
      <w:r>
        <w:rPr>
          <w:szCs w:val="24"/>
        </w:rPr>
        <w:t>[She]</w:t>
      </w:r>
      <w:r w:rsidR="00B11A8E" w:rsidRPr="00B11A8E">
        <w:rPr>
          <w:szCs w:val="24"/>
        </w:rPr>
        <w:t xml:space="preserve"> confirmed that she had abstained due to concern about </w:t>
      </w:r>
      <w:r>
        <w:rPr>
          <w:szCs w:val="24"/>
        </w:rPr>
        <w:t>[TZB’s]</w:t>
      </w:r>
      <w:r w:rsidR="00B11A8E" w:rsidRPr="00B11A8E">
        <w:rPr>
          <w:szCs w:val="24"/>
        </w:rPr>
        <w:t xml:space="preserve"> mental health and the disclosure at the GDC of his suicide attempt, not the exam situation. </w:t>
      </w:r>
    </w:p>
    <w:p w14:paraId="56CF6983" w14:textId="77777777" w:rsidR="00771423" w:rsidRDefault="00771423" w:rsidP="00972118">
      <w:pPr>
        <w:pStyle w:val="ParaLevel1"/>
        <w:numPr>
          <w:ilvl w:val="0"/>
          <w:numId w:val="0"/>
        </w:numPr>
        <w:ind w:left="1418" w:right="793"/>
        <w:rPr>
          <w:szCs w:val="24"/>
        </w:rPr>
      </w:pPr>
      <w:r>
        <w:rPr>
          <w:szCs w:val="24"/>
        </w:rPr>
        <w:t xml:space="preserve">[4]  </w:t>
      </w:r>
      <w:r w:rsidR="00B11A8E" w:rsidRPr="00B11A8E">
        <w:rPr>
          <w:szCs w:val="24"/>
        </w:rPr>
        <w:t xml:space="preserve">It was agreed that the family were concentrating on the requirements of the PSED, the IRP had not felt that the Panel should consider this issue further. </w:t>
      </w:r>
    </w:p>
    <w:p w14:paraId="17D3B324" w14:textId="3F962B14" w:rsidR="004B2AD6" w:rsidRDefault="00771423" w:rsidP="00972118">
      <w:pPr>
        <w:pStyle w:val="ParaLevel1"/>
        <w:numPr>
          <w:ilvl w:val="0"/>
          <w:numId w:val="0"/>
        </w:numPr>
        <w:ind w:left="1418" w:right="793"/>
        <w:rPr>
          <w:szCs w:val="24"/>
        </w:rPr>
      </w:pPr>
      <w:r>
        <w:rPr>
          <w:szCs w:val="24"/>
        </w:rPr>
        <w:t xml:space="preserve">[5]  </w:t>
      </w:r>
      <w:r w:rsidR="00B11A8E" w:rsidRPr="00B11A8E">
        <w:rPr>
          <w:szCs w:val="24"/>
        </w:rPr>
        <w:t xml:space="preserve">The Panel commented on the level of support provided to </w:t>
      </w:r>
      <w:r>
        <w:rPr>
          <w:szCs w:val="24"/>
        </w:rPr>
        <w:t>[TZB]</w:t>
      </w:r>
      <w:r w:rsidR="00B11A8E" w:rsidRPr="00B11A8E">
        <w:rPr>
          <w:szCs w:val="24"/>
        </w:rPr>
        <w:t>, he had been provided with support since the transition period in Year 6, this had been fully outlined in the pack submitted to the original GDC meeting.  It was also noted that the Pastoral Support Plan dated 20 November 2020 had stated that ‘both school and home have identified a marked change in his attitude this year as he is presenting increasingly more defiant’.  It also stated:</w:t>
      </w:r>
      <w:r w:rsidR="00A47DB5">
        <w:rPr>
          <w:szCs w:val="24"/>
        </w:rPr>
        <w:t xml:space="preserve"> </w:t>
      </w:r>
      <w:r w:rsidR="00B11A8E" w:rsidRPr="00B11A8E">
        <w:rPr>
          <w:szCs w:val="24"/>
        </w:rPr>
        <w:t xml:space="preserve">‘he had behaved dangerously putting others at risk and causing disruption.’ </w:t>
      </w:r>
    </w:p>
    <w:p w14:paraId="36CFF919" w14:textId="77777777" w:rsidR="004B2AD6" w:rsidRDefault="004B2AD6" w:rsidP="00972118">
      <w:pPr>
        <w:pStyle w:val="ParaLevel1"/>
        <w:numPr>
          <w:ilvl w:val="0"/>
          <w:numId w:val="0"/>
        </w:numPr>
        <w:ind w:left="1418" w:right="793"/>
        <w:rPr>
          <w:szCs w:val="24"/>
        </w:rPr>
      </w:pPr>
      <w:r>
        <w:rPr>
          <w:szCs w:val="24"/>
        </w:rPr>
        <w:t xml:space="preserve">[6]  </w:t>
      </w:r>
      <w:r w:rsidR="00B11A8E" w:rsidRPr="00B11A8E">
        <w:rPr>
          <w:szCs w:val="24"/>
        </w:rPr>
        <w:t xml:space="preserve">The Panel agreed that they had considered the two-fold test in considering the recommendation for a permanent exclusion.   </w:t>
      </w:r>
    </w:p>
    <w:p w14:paraId="0CB5A232" w14:textId="642EF230" w:rsidR="003917A7" w:rsidRDefault="004B2AD6" w:rsidP="00972118">
      <w:pPr>
        <w:pStyle w:val="ParaLevel1"/>
        <w:numPr>
          <w:ilvl w:val="0"/>
          <w:numId w:val="0"/>
        </w:numPr>
        <w:ind w:left="1418" w:right="793"/>
        <w:rPr>
          <w:szCs w:val="24"/>
        </w:rPr>
      </w:pPr>
      <w:r>
        <w:rPr>
          <w:szCs w:val="24"/>
        </w:rPr>
        <w:t xml:space="preserve">[7]  </w:t>
      </w:r>
      <w:r w:rsidR="007B05D0">
        <w:rPr>
          <w:szCs w:val="24"/>
        </w:rPr>
        <w:t xml:space="preserve">[Already quoted at para. </w:t>
      </w:r>
      <w:r w:rsidR="00B01E24">
        <w:rPr>
          <w:szCs w:val="24"/>
        </w:rPr>
        <w:t>55</w:t>
      </w:r>
      <w:r w:rsidR="007B05D0">
        <w:rPr>
          <w:szCs w:val="24"/>
        </w:rPr>
        <w:t xml:space="preserve"> above]</w:t>
      </w:r>
      <w:r w:rsidR="00B11A8E" w:rsidRPr="00B11A8E">
        <w:rPr>
          <w:szCs w:val="24"/>
        </w:rPr>
        <w:t xml:space="preserve"> </w:t>
      </w:r>
    </w:p>
    <w:p w14:paraId="61E0E215" w14:textId="1A0BF0D0" w:rsidR="00D77436" w:rsidRDefault="003917A7" w:rsidP="00972118">
      <w:pPr>
        <w:pStyle w:val="ParaLevel1"/>
        <w:numPr>
          <w:ilvl w:val="0"/>
          <w:numId w:val="0"/>
        </w:numPr>
        <w:ind w:left="1418" w:right="793"/>
        <w:rPr>
          <w:szCs w:val="24"/>
        </w:rPr>
      </w:pPr>
      <w:r>
        <w:rPr>
          <w:szCs w:val="24"/>
        </w:rPr>
        <w:t>[</w:t>
      </w:r>
      <w:r w:rsidR="00A23AF5">
        <w:rPr>
          <w:szCs w:val="24"/>
        </w:rPr>
        <w:t xml:space="preserve">8]  </w:t>
      </w:r>
      <w:r w:rsidR="00B11A8E" w:rsidRPr="00B11A8E">
        <w:rPr>
          <w:szCs w:val="24"/>
        </w:rPr>
        <w:t xml:space="preserve">The Panel also commented that they had asked the family and the School if there was anything further that could have been done to support </w:t>
      </w:r>
      <w:r w:rsidR="00A23AF5">
        <w:rPr>
          <w:szCs w:val="24"/>
        </w:rPr>
        <w:t>[TZB]</w:t>
      </w:r>
      <w:r w:rsidR="00B11A8E" w:rsidRPr="00B11A8E">
        <w:rPr>
          <w:szCs w:val="24"/>
        </w:rPr>
        <w:t xml:space="preserve"> and nothing further was identified.</w:t>
      </w:r>
      <w:r w:rsidR="00A23AF5">
        <w:rPr>
          <w:szCs w:val="24"/>
        </w:rPr>
        <w:t>”</w:t>
      </w:r>
      <w:r w:rsidR="00B11A8E" w:rsidRPr="00B11A8E">
        <w:rPr>
          <w:szCs w:val="24"/>
        </w:rPr>
        <w:t xml:space="preserve">   </w:t>
      </w:r>
    </w:p>
    <w:p w14:paraId="78A72A59" w14:textId="2DD0033F" w:rsidR="00861E7F" w:rsidRDefault="00861E7F" w:rsidP="00972118">
      <w:pPr>
        <w:pStyle w:val="ParaLevel1"/>
        <w:numPr>
          <w:ilvl w:val="0"/>
          <w:numId w:val="0"/>
        </w:numPr>
        <w:ind w:left="720"/>
        <w:rPr>
          <w:szCs w:val="24"/>
        </w:rPr>
      </w:pPr>
      <w:r>
        <w:rPr>
          <w:szCs w:val="24"/>
        </w:rPr>
        <w:t>(Again, the references to “the Panel” are to the GDC itself.)</w:t>
      </w:r>
    </w:p>
    <w:p w14:paraId="416AD234" w14:textId="73F28DFC" w:rsidR="00B91BB2" w:rsidRDefault="005223D5" w:rsidP="00972118">
      <w:pPr>
        <w:pStyle w:val="ParaLevel1"/>
        <w:rPr>
          <w:szCs w:val="24"/>
        </w:rPr>
      </w:pPr>
      <w:r>
        <w:rPr>
          <w:szCs w:val="24"/>
        </w:rPr>
        <w:t xml:space="preserve">The minutes then </w:t>
      </w:r>
      <w:r w:rsidR="00A57340">
        <w:rPr>
          <w:szCs w:val="24"/>
        </w:rPr>
        <w:t>cover</w:t>
      </w:r>
      <w:r>
        <w:rPr>
          <w:szCs w:val="24"/>
        </w:rPr>
        <w:t xml:space="preserve"> the part of the meeting relating to the PSED, with which I have already dealt</w:t>
      </w:r>
      <w:r w:rsidR="005E43B8">
        <w:rPr>
          <w:szCs w:val="24"/>
        </w:rPr>
        <w:t>.  I have also set out the final conclusion</w:t>
      </w:r>
      <w:r w:rsidR="0035169D">
        <w:rPr>
          <w:szCs w:val="24"/>
        </w:rPr>
        <w:t xml:space="preserve"> (see para. </w:t>
      </w:r>
      <w:r w:rsidR="004407F1">
        <w:rPr>
          <w:szCs w:val="24"/>
        </w:rPr>
        <w:t>57</w:t>
      </w:r>
      <w:r w:rsidR="0035169D">
        <w:rPr>
          <w:szCs w:val="24"/>
        </w:rPr>
        <w:t xml:space="preserve"> above)</w:t>
      </w:r>
      <w:r w:rsidR="005E43B8">
        <w:rPr>
          <w:szCs w:val="24"/>
        </w:rPr>
        <w:t xml:space="preserve">, but I repeat </w:t>
      </w:r>
      <w:r w:rsidR="00EA5DE3">
        <w:rPr>
          <w:szCs w:val="24"/>
        </w:rPr>
        <w:t>the final two sentences</w:t>
      </w:r>
      <w:r w:rsidR="005E43B8">
        <w:rPr>
          <w:szCs w:val="24"/>
        </w:rPr>
        <w:t>:</w:t>
      </w:r>
    </w:p>
    <w:p w14:paraId="355984CC" w14:textId="6F10F529" w:rsidR="005E43B8" w:rsidRDefault="00EA5DE3" w:rsidP="00972118">
      <w:pPr>
        <w:pStyle w:val="ParaLevel1"/>
        <w:numPr>
          <w:ilvl w:val="0"/>
          <w:numId w:val="0"/>
        </w:numPr>
        <w:ind w:left="1418" w:right="793"/>
        <w:rPr>
          <w:szCs w:val="24"/>
        </w:rPr>
      </w:pPr>
      <w:r>
        <w:rPr>
          <w:szCs w:val="24"/>
        </w:rPr>
        <w:t>“</w:t>
      </w:r>
      <w:r w:rsidR="005E43B8" w:rsidRPr="005E43B8">
        <w:rPr>
          <w:szCs w:val="24"/>
        </w:rPr>
        <w:t xml:space="preserve">The Panel were also satisfied that </w:t>
      </w:r>
      <w:r w:rsidR="00E1438B">
        <w:rPr>
          <w:szCs w:val="24"/>
        </w:rPr>
        <w:t>[TZB’s]</w:t>
      </w:r>
      <w:r w:rsidR="005E43B8" w:rsidRPr="005E43B8">
        <w:rPr>
          <w:szCs w:val="24"/>
        </w:rPr>
        <w:t xml:space="preserve"> SEN needs had been considered and that the School had done everything it could to support </w:t>
      </w:r>
      <w:r w:rsidR="00DA0FEF">
        <w:rPr>
          <w:szCs w:val="24"/>
        </w:rPr>
        <w:t>[TZB]</w:t>
      </w:r>
      <w:r w:rsidR="005E43B8" w:rsidRPr="005E43B8">
        <w:rPr>
          <w:szCs w:val="24"/>
        </w:rPr>
        <w:t xml:space="preserve">.  The Panel also considered all the points raised by the IRP and, having thoroughly reviewed all the evidence submitted to them, they agreed to decline to reinstate </w:t>
      </w:r>
      <w:r w:rsidR="00E1438B">
        <w:rPr>
          <w:szCs w:val="24"/>
        </w:rPr>
        <w:t>TZB</w:t>
      </w:r>
      <w:r w:rsidR="005E43B8" w:rsidRPr="005E43B8">
        <w:rPr>
          <w:szCs w:val="24"/>
        </w:rPr>
        <w:t>.</w:t>
      </w:r>
      <w:r>
        <w:rPr>
          <w:szCs w:val="24"/>
        </w:rPr>
        <w:t>”</w:t>
      </w:r>
    </w:p>
    <w:p w14:paraId="04507A59" w14:textId="5956F03C" w:rsidR="00300276" w:rsidRDefault="00300276" w:rsidP="00972118">
      <w:pPr>
        <w:pStyle w:val="ParaLevel1"/>
        <w:rPr>
          <w:szCs w:val="24"/>
        </w:rPr>
      </w:pPr>
      <w:r>
        <w:rPr>
          <w:szCs w:val="24"/>
        </w:rPr>
        <w:t xml:space="preserve">It will be seen that </w:t>
      </w:r>
      <w:r w:rsidR="0088231B">
        <w:rPr>
          <w:szCs w:val="24"/>
        </w:rPr>
        <w:t xml:space="preserve">although </w:t>
      </w:r>
      <w:r>
        <w:rPr>
          <w:szCs w:val="24"/>
        </w:rPr>
        <w:t xml:space="preserve">the </w:t>
      </w:r>
      <w:r w:rsidR="00264279">
        <w:rPr>
          <w:szCs w:val="24"/>
        </w:rPr>
        <w:t>GD</w:t>
      </w:r>
      <w:r w:rsidR="00E27D22">
        <w:rPr>
          <w:szCs w:val="24"/>
        </w:rPr>
        <w:t>C</w:t>
      </w:r>
      <w:r w:rsidR="00264279">
        <w:rPr>
          <w:szCs w:val="24"/>
        </w:rPr>
        <w:t xml:space="preserve"> spent the best part of an hour discussing the IRP’s concerns </w:t>
      </w:r>
      <w:r w:rsidR="005C4548">
        <w:rPr>
          <w:szCs w:val="24"/>
        </w:rPr>
        <w:t xml:space="preserve">the only </w:t>
      </w:r>
      <w:r w:rsidR="00DA0FEF">
        <w:rPr>
          <w:szCs w:val="24"/>
        </w:rPr>
        <w:t>one of those identified by the Judge</w:t>
      </w:r>
      <w:r w:rsidR="005C4548">
        <w:rPr>
          <w:szCs w:val="24"/>
        </w:rPr>
        <w:t xml:space="preserve"> </w:t>
      </w:r>
      <w:r w:rsidR="00390E4C">
        <w:rPr>
          <w:szCs w:val="24"/>
        </w:rPr>
        <w:t xml:space="preserve">which is </w:t>
      </w:r>
      <w:r w:rsidR="005C4548">
        <w:rPr>
          <w:szCs w:val="24"/>
        </w:rPr>
        <w:t xml:space="preserve">specifically addressed </w:t>
      </w:r>
      <w:r w:rsidR="00DA0FEF">
        <w:rPr>
          <w:szCs w:val="24"/>
        </w:rPr>
        <w:t xml:space="preserve">in the minutes </w:t>
      </w:r>
      <w:r w:rsidR="00371457">
        <w:rPr>
          <w:szCs w:val="24"/>
        </w:rPr>
        <w:t xml:space="preserve">is that it had </w:t>
      </w:r>
      <w:r w:rsidR="00A31F39">
        <w:rPr>
          <w:szCs w:val="24"/>
        </w:rPr>
        <w:t xml:space="preserve">not considered the </w:t>
      </w:r>
      <w:r w:rsidR="00965750">
        <w:rPr>
          <w:szCs w:val="24"/>
        </w:rPr>
        <w:t>fact</w:t>
      </w:r>
      <w:r w:rsidR="00E27D22">
        <w:rPr>
          <w:szCs w:val="24"/>
        </w:rPr>
        <w:t xml:space="preserve"> that TZB was about to sit his GCSEs</w:t>
      </w:r>
      <w:r w:rsidR="0088231B">
        <w:rPr>
          <w:szCs w:val="24"/>
        </w:rPr>
        <w:t xml:space="preserve"> </w:t>
      </w:r>
      <w:r w:rsidR="00965750">
        <w:rPr>
          <w:szCs w:val="24"/>
        </w:rPr>
        <w:t>(</w:t>
      </w:r>
      <w:r w:rsidR="00DA0FEF">
        <w:rPr>
          <w:szCs w:val="24"/>
        </w:rPr>
        <w:t>concern</w:t>
      </w:r>
      <w:r w:rsidR="00965750">
        <w:rPr>
          <w:szCs w:val="24"/>
        </w:rPr>
        <w:t xml:space="preserve"> (vi)): see </w:t>
      </w:r>
      <w:r w:rsidR="001D6C05">
        <w:rPr>
          <w:szCs w:val="24"/>
        </w:rPr>
        <w:t>paras. [2]-[3] of the minutes.</w:t>
      </w:r>
      <w:r w:rsidR="00AB5569">
        <w:rPr>
          <w:szCs w:val="24"/>
        </w:rPr>
        <w:t xml:space="preserve">  Paras. [5] and [7]-[8] </w:t>
      </w:r>
      <w:r w:rsidR="00D91FAA">
        <w:rPr>
          <w:szCs w:val="24"/>
        </w:rPr>
        <w:t xml:space="preserve">make some points that might be relevant to some of the IRP’s other concerns, but they do not </w:t>
      </w:r>
      <w:r w:rsidR="00182900">
        <w:rPr>
          <w:szCs w:val="24"/>
        </w:rPr>
        <w:t>directly address them.</w:t>
      </w:r>
      <w:r w:rsidR="00D91FAA">
        <w:rPr>
          <w:szCs w:val="24"/>
        </w:rPr>
        <w:t xml:space="preserve"> </w:t>
      </w:r>
      <w:r w:rsidR="001D6C05">
        <w:rPr>
          <w:szCs w:val="24"/>
        </w:rPr>
        <w:t xml:space="preserve"> </w:t>
      </w:r>
    </w:p>
    <w:p w14:paraId="3A6403C4" w14:textId="6EFEB4B3" w:rsidR="00300276" w:rsidRPr="00182900" w:rsidRDefault="00182900" w:rsidP="00972118">
      <w:pPr>
        <w:pStyle w:val="ParaLevel1"/>
        <w:numPr>
          <w:ilvl w:val="0"/>
          <w:numId w:val="0"/>
        </w:numPr>
        <w:rPr>
          <w:szCs w:val="24"/>
          <w:u w:val="single"/>
        </w:rPr>
      </w:pPr>
      <w:r>
        <w:rPr>
          <w:szCs w:val="24"/>
          <w:u w:val="single"/>
        </w:rPr>
        <w:t>THE JUDGE’</w:t>
      </w:r>
      <w:r w:rsidR="007B1C64">
        <w:rPr>
          <w:szCs w:val="24"/>
          <w:u w:val="single"/>
        </w:rPr>
        <w:t>S</w:t>
      </w:r>
      <w:r>
        <w:rPr>
          <w:szCs w:val="24"/>
          <w:u w:val="single"/>
        </w:rPr>
        <w:t xml:space="preserve"> REASONING</w:t>
      </w:r>
    </w:p>
    <w:p w14:paraId="616BDC4F" w14:textId="4D348501" w:rsidR="00CE0785" w:rsidRPr="00CE0785" w:rsidRDefault="006606A7" w:rsidP="00972118">
      <w:pPr>
        <w:pStyle w:val="ParaLevel1"/>
        <w:rPr>
          <w:szCs w:val="24"/>
        </w:rPr>
      </w:pPr>
      <w:r>
        <w:rPr>
          <w:szCs w:val="24"/>
        </w:rPr>
        <w:t xml:space="preserve">The Judge </w:t>
      </w:r>
      <w:r w:rsidR="00182900">
        <w:rPr>
          <w:szCs w:val="24"/>
        </w:rPr>
        <w:t xml:space="preserve">considered the reasons challenge </w:t>
      </w:r>
      <w:r>
        <w:rPr>
          <w:szCs w:val="24"/>
        </w:rPr>
        <w:t xml:space="preserve">at </w:t>
      </w:r>
      <w:r w:rsidR="004542A5">
        <w:rPr>
          <w:szCs w:val="24"/>
        </w:rPr>
        <w:t>paras. 79-</w:t>
      </w:r>
      <w:r w:rsidR="00E97CA0">
        <w:rPr>
          <w:szCs w:val="24"/>
        </w:rPr>
        <w:t xml:space="preserve">97 of his judgment.  </w:t>
      </w:r>
      <w:r w:rsidR="00BF6320">
        <w:rPr>
          <w:szCs w:val="24"/>
        </w:rPr>
        <w:t>He began</w:t>
      </w:r>
      <w:r w:rsidR="00761585">
        <w:rPr>
          <w:szCs w:val="24"/>
        </w:rPr>
        <w:t>, at paras. 77-83, b</w:t>
      </w:r>
      <w:r w:rsidR="00BF6320">
        <w:rPr>
          <w:szCs w:val="24"/>
        </w:rPr>
        <w:t xml:space="preserve">y referring </w:t>
      </w:r>
      <w:r w:rsidR="00BF6320">
        <w:t>to a number of well-known authorities setting out the principles about the standard of reasons required from a decision-maker</w:t>
      </w:r>
      <w:r w:rsidR="004A08FE">
        <w:t xml:space="preserve">.  I need not </w:t>
      </w:r>
      <w:r w:rsidR="00FF2B62">
        <w:t xml:space="preserve">reproduce the whole passage, but I should note that at para. 82 </w:t>
      </w:r>
      <w:r w:rsidR="00960AE0">
        <w:t xml:space="preserve">he refers to para. 36 of the speech of Lord Brown in </w:t>
      </w:r>
      <w:r w:rsidR="00A33150" w:rsidRPr="00146BFB">
        <w:rPr>
          <w:i/>
          <w:iCs/>
          <w:lang w:eastAsia="en-GB"/>
        </w:rPr>
        <w:t>South Bucks District Council v Porter (</w:t>
      </w:r>
      <w:r w:rsidR="00A33150">
        <w:rPr>
          <w:i/>
          <w:iCs/>
          <w:lang w:eastAsia="en-GB"/>
        </w:rPr>
        <w:t>n</w:t>
      </w:r>
      <w:r w:rsidR="00A33150" w:rsidRPr="00146BFB">
        <w:rPr>
          <w:i/>
          <w:iCs/>
          <w:lang w:eastAsia="en-GB"/>
        </w:rPr>
        <w:t>o. 2) </w:t>
      </w:r>
      <w:r w:rsidR="00A33150" w:rsidRPr="00146BFB">
        <w:rPr>
          <w:lang w:eastAsia="en-GB"/>
        </w:rPr>
        <w:t>[2004] UKHL 33, [2004] 1 WLR 1953</w:t>
      </w:r>
      <w:r w:rsidR="00D316A2">
        <w:rPr>
          <w:lang w:eastAsia="en-GB"/>
        </w:rPr>
        <w:t>,</w:t>
      </w:r>
      <w:r w:rsidR="00A33150">
        <w:rPr>
          <w:lang w:eastAsia="en-GB"/>
        </w:rPr>
        <w:t xml:space="preserve"> </w:t>
      </w:r>
      <w:r w:rsidR="00CE0785">
        <w:rPr>
          <w:lang w:eastAsia="en-GB"/>
        </w:rPr>
        <w:t>noting</w:t>
      </w:r>
      <w:r w:rsidR="006435FB">
        <w:rPr>
          <w:lang w:eastAsia="en-GB"/>
        </w:rPr>
        <w:t xml:space="preserve"> from it that</w:t>
      </w:r>
    </w:p>
    <w:p w14:paraId="5D8D1437" w14:textId="4D2D626E" w:rsidR="00CE0785" w:rsidRPr="0034485A" w:rsidRDefault="00A65973" w:rsidP="00972118">
      <w:pPr>
        <w:pStyle w:val="ParaLevel1"/>
        <w:numPr>
          <w:ilvl w:val="0"/>
          <w:numId w:val="0"/>
        </w:numPr>
        <w:ind w:left="1418" w:right="793"/>
        <w:rPr>
          <w:szCs w:val="24"/>
        </w:rPr>
      </w:pPr>
      <w:r w:rsidRPr="0034485A">
        <w:rPr>
          <w:color w:val="000000"/>
          <w:szCs w:val="24"/>
        </w:rPr>
        <w:t xml:space="preserve">“reasons ‘must enable the reader to understand why the matter was decided as it was and what conclusions were reached on the </w:t>
      </w:r>
      <w:r w:rsidR="00BF17C1" w:rsidRPr="0034485A">
        <w:rPr>
          <w:color w:val="000000"/>
          <w:szCs w:val="24"/>
        </w:rPr>
        <w:t>“</w:t>
      </w:r>
      <w:r w:rsidRPr="0034485A">
        <w:rPr>
          <w:color w:val="000000"/>
          <w:szCs w:val="24"/>
        </w:rPr>
        <w:t>principal important controversial issues</w:t>
      </w:r>
      <w:r w:rsidR="00BF17C1" w:rsidRPr="0034485A">
        <w:rPr>
          <w:color w:val="000000"/>
          <w:szCs w:val="24"/>
        </w:rPr>
        <w:t>”’</w:t>
      </w:r>
      <w:r w:rsidRPr="0034485A">
        <w:rPr>
          <w:color w:val="000000"/>
          <w:szCs w:val="24"/>
        </w:rPr>
        <w:t xml:space="preserve"> and </w:t>
      </w:r>
      <w:r w:rsidR="00BF17C1" w:rsidRPr="0034485A">
        <w:rPr>
          <w:color w:val="000000"/>
          <w:szCs w:val="24"/>
        </w:rPr>
        <w:t>‘</w:t>
      </w:r>
      <w:r w:rsidRPr="0034485A">
        <w:rPr>
          <w:color w:val="000000"/>
          <w:szCs w:val="24"/>
        </w:rPr>
        <w:t>can be stated briefly</w:t>
      </w:r>
      <w:r w:rsidR="00BF17C1" w:rsidRPr="0034485A">
        <w:rPr>
          <w:color w:val="000000"/>
          <w:szCs w:val="24"/>
        </w:rPr>
        <w:t>’</w:t>
      </w:r>
      <w:r w:rsidRPr="0034485A">
        <w:rPr>
          <w:color w:val="000000"/>
          <w:szCs w:val="24"/>
        </w:rPr>
        <w:t xml:space="preserve">, and </w:t>
      </w:r>
      <w:r w:rsidR="00BF17C1" w:rsidRPr="0034485A">
        <w:rPr>
          <w:color w:val="000000"/>
          <w:szCs w:val="24"/>
        </w:rPr>
        <w:t>‘</w:t>
      </w:r>
      <w:r w:rsidRPr="0034485A">
        <w:rPr>
          <w:color w:val="000000"/>
          <w:szCs w:val="24"/>
        </w:rPr>
        <w:t>a reasons challenge will only succeed if the party aggrieved can satisfy the court that he has genuinely been substantially prejudiced by the failure to provide an adequately reasoned decision</w:t>
      </w:r>
      <w:r w:rsidR="006435FB" w:rsidRPr="0034485A">
        <w:rPr>
          <w:color w:val="000000"/>
          <w:szCs w:val="24"/>
        </w:rPr>
        <w:t>’.”</w:t>
      </w:r>
    </w:p>
    <w:p w14:paraId="1CC7A444" w14:textId="7B92A240" w:rsidR="000E7E9A" w:rsidRPr="000E7E9A" w:rsidRDefault="00652440" w:rsidP="00972118">
      <w:pPr>
        <w:pStyle w:val="ParaLevel1"/>
        <w:numPr>
          <w:ilvl w:val="0"/>
          <w:numId w:val="0"/>
        </w:numPr>
        <w:ind w:left="720"/>
        <w:rPr>
          <w:szCs w:val="24"/>
        </w:rPr>
      </w:pPr>
      <w:r>
        <w:rPr>
          <w:lang w:eastAsia="en-GB"/>
        </w:rPr>
        <w:t xml:space="preserve">At para. 84 he </w:t>
      </w:r>
      <w:r w:rsidR="0034485A">
        <w:rPr>
          <w:lang w:eastAsia="en-GB"/>
        </w:rPr>
        <w:t>says</w:t>
      </w:r>
      <w:r>
        <w:rPr>
          <w:lang w:eastAsia="en-GB"/>
        </w:rPr>
        <w:t xml:space="preserve">, relying </w:t>
      </w:r>
      <w:r w:rsidR="0034485A">
        <w:rPr>
          <w:lang w:eastAsia="en-GB"/>
        </w:rPr>
        <w:t>on that passage</w:t>
      </w:r>
      <w:r>
        <w:rPr>
          <w:lang w:eastAsia="en-GB"/>
        </w:rPr>
        <w:t xml:space="preserve">, that there was no need for the GDC to address every point raised before it. </w:t>
      </w:r>
    </w:p>
    <w:p w14:paraId="30B172A7" w14:textId="474D3321" w:rsidR="000E7E9A" w:rsidRDefault="00343B08" w:rsidP="00972118">
      <w:pPr>
        <w:pStyle w:val="ParaLevel1"/>
        <w:rPr>
          <w:szCs w:val="24"/>
        </w:rPr>
      </w:pPr>
      <w:r>
        <w:rPr>
          <w:szCs w:val="24"/>
        </w:rPr>
        <w:t>At p</w:t>
      </w:r>
      <w:r w:rsidR="00424A7A">
        <w:rPr>
          <w:szCs w:val="24"/>
        </w:rPr>
        <w:t>a</w:t>
      </w:r>
      <w:r>
        <w:rPr>
          <w:szCs w:val="24"/>
        </w:rPr>
        <w:t xml:space="preserve">ra. 83 the Judge made the point, which was not challenged by Ms Harrison and which </w:t>
      </w:r>
      <w:r w:rsidR="00415CD8">
        <w:rPr>
          <w:szCs w:val="24"/>
        </w:rPr>
        <w:t xml:space="preserve">is plainly correct, that </w:t>
      </w:r>
      <w:r w:rsidR="00424A7A">
        <w:rPr>
          <w:szCs w:val="24"/>
        </w:rPr>
        <w:t>i</w:t>
      </w:r>
      <w:r w:rsidR="00A90032">
        <w:rPr>
          <w:szCs w:val="24"/>
        </w:rPr>
        <w:t>n order to ascertain the GDC’s reasons for deciding to maintain its original decision i</w:t>
      </w:r>
      <w:r w:rsidR="00424A7A">
        <w:rPr>
          <w:szCs w:val="24"/>
        </w:rPr>
        <w:t xml:space="preserve">t was necessary to read the minutes of the reconsideration decision together with the minutes of the </w:t>
      </w:r>
      <w:r w:rsidR="00A90032">
        <w:rPr>
          <w:szCs w:val="24"/>
        </w:rPr>
        <w:t>origin</w:t>
      </w:r>
      <w:r w:rsidR="00424A7A">
        <w:rPr>
          <w:szCs w:val="24"/>
        </w:rPr>
        <w:t>al decision</w:t>
      </w:r>
      <w:r w:rsidR="000233C7">
        <w:rPr>
          <w:szCs w:val="24"/>
        </w:rPr>
        <w:t xml:space="preserve"> and the letter of 8 June 2021.  He also said</w:t>
      </w:r>
      <w:r w:rsidR="00A90032">
        <w:rPr>
          <w:szCs w:val="24"/>
        </w:rPr>
        <w:t>:</w:t>
      </w:r>
    </w:p>
    <w:p w14:paraId="7E97F041" w14:textId="676C4C9C" w:rsidR="00215532" w:rsidRPr="009555FD" w:rsidRDefault="00A90032" w:rsidP="00972118">
      <w:pPr>
        <w:spacing w:before="100" w:beforeAutospacing="1" w:after="100" w:afterAutospacing="1"/>
        <w:ind w:left="1418" w:right="793"/>
        <w:jc w:val="both"/>
        <w:rPr>
          <w:color w:val="000000"/>
          <w:lang w:eastAsia="en-GB"/>
        </w:rPr>
      </w:pPr>
      <w:bookmarkStart w:id="28" w:name="para83"/>
      <w:r>
        <w:rPr>
          <w:color w:val="000000"/>
        </w:rPr>
        <w:t>“</w:t>
      </w:r>
      <w:r w:rsidR="00215532" w:rsidRPr="009555FD">
        <w:rPr>
          <w:color w:val="000000"/>
        </w:rPr>
        <w:t>For these purposes its reasons cannot include what is said in the witness statements of the chair of the GDC or the Headteacher.</w:t>
      </w:r>
      <w:bookmarkEnd w:id="28"/>
      <w:r>
        <w:rPr>
          <w:color w:val="000000"/>
        </w:rPr>
        <w:t>”</w:t>
      </w:r>
    </w:p>
    <w:p w14:paraId="429910AD" w14:textId="77777777" w:rsidR="00346D2F" w:rsidRDefault="00A90032" w:rsidP="00972118">
      <w:pPr>
        <w:pStyle w:val="ParaLevel1"/>
        <w:numPr>
          <w:ilvl w:val="0"/>
          <w:numId w:val="0"/>
        </w:numPr>
        <w:ind w:left="720"/>
        <w:rPr>
          <w:szCs w:val="24"/>
        </w:rPr>
      </w:pPr>
      <w:r>
        <w:rPr>
          <w:szCs w:val="24"/>
        </w:rPr>
        <w:t>That is important because one of Ms Harrison’s challenges to the Judge’s reasoning is that he illegitimately took into account reasons which only appear in those witness statements</w:t>
      </w:r>
      <w:r w:rsidR="00916326">
        <w:rPr>
          <w:szCs w:val="24"/>
        </w:rPr>
        <w:t xml:space="preserve">.  </w:t>
      </w:r>
      <w:r w:rsidR="00346D2F">
        <w:rPr>
          <w:szCs w:val="24"/>
        </w:rPr>
        <w:t>In the light of his explicit self-direction to the contrary, that is hard to sustain.</w:t>
      </w:r>
    </w:p>
    <w:p w14:paraId="654F4C8F" w14:textId="70AF134F" w:rsidR="0022727A" w:rsidRDefault="00576EDB" w:rsidP="00972118">
      <w:pPr>
        <w:pStyle w:val="ParaLevel1"/>
        <w:rPr>
          <w:szCs w:val="24"/>
        </w:rPr>
      </w:pPr>
      <w:r>
        <w:rPr>
          <w:szCs w:val="24"/>
        </w:rPr>
        <w:t xml:space="preserve">The core of </w:t>
      </w:r>
      <w:r w:rsidR="0066253E">
        <w:rPr>
          <w:szCs w:val="24"/>
        </w:rPr>
        <w:t>the Judge’s</w:t>
      </w:r>
      <w:r>
        <w:rPr>
          <w:szCs w:val="24"/>
        </w:rPr>
        <w:t xml:space="preserve"> reasoning </w:t>
      </w:r>
      <w:r w:rsidR="00D21482">
        <w:rPr>
          <w:szCs w:val="24"/>
        </w:rPr>
        <w:t xml:space="preserve">as regards </w:t>
      </w:r>
      <w:r w:rsidR="00B04F9E">
        <w:rPr>
          <w:szCs w:val="24"/>
        </w:rPr>
        <w:t xml:space="preserve">the GDC’s response to the IRP’s concerns </w:t>
      </w:r>
      <w:r>
        <w:rPr>
          <w:szCs w:val="24"/>
        </w:rPr>
        <w:t xml:space="preserve">appears in paras. </w:t>
      </w:r>
      <w:r w:rsidR="008B12C5">
        <w:rPr>
          <w:szCs w:val="24"/>
        </w:rPr>
        <w:t xml:space="preserve">91-96, where he addresses the </w:t>
      </w:r>
      <w:r w:rsidR="00156E4D">
        <w:rPr>
          <w:szCs w:val="24"/>
        </w:rPr>
        <w:t>IRP’s six points as follows</w:t>
      </w:r>
      <w:r w:rsidR="00FF0074">
        <w:rPr>
          <w:szCs w:val="24"/>
        </w:rPr>
        <w:t>:</w:t>
      </w:r>
    </w:p>
    <w:p w14:paraId="3F7BD3B0" w14:textId="309BEC86" w:rsidR="00EC5C4B" w:rsidRPr="00EE2097" w:rsidRDefault="00EC5C4B" w:rsidP="00972118">
      <w:pPr>
        <w:spacing w:before="100" w:beforeAutospacing="1" w:after="100" w:afterAutospacing="1"/>
        <w:ind w:left="1418" w:right="793"/>
        <w:jc w:val="both"/>
        <w:rPr>
          <w:color w:val="000000"/>
          <w:lang w:eastAsia="en-GB"/>
        </w:rPr>
      </w:pPr>
      <w:bookmarkStart w:id="29" w:name="para91"/>
      <w:r w:rsidRPr="00EE2097">
        <w:rPr>
          <w:color w:val="000000"/>
        </w:rPr>
        <w:t xml:space="preserve">“91.  Concern </w:t>
      </w:r>
      <w:r w:rsidR="00361E0B">
        <w:rPr>
          <w:color w:val="000000"/>
        </w:rPr>
        <w:t>(</w:t>
      </w:r>
      <w:r w:rsidRPr="00EE2097">
        <w:rPr>
          <w:color w:val="000000"/>
        </w:rPr>
        <w:t xml:space="preserve">i) is puzzling, since under the heading ‘Decision’ in the minutes of the initial GDC meeting it is stated: </w:t>
      </w:r>
      <w:r w:rsidR="005D02ED">
        <w:rPr>
          <w:color w:val="000000"/>
        </w:rPr>
        <w:t>‘</w:t>
      </w:r>
      <w:r w:rsidRPr="00EE2097">
        <w:rPr>
          <w:color w:val="000000"/>
        </w:rPr>
        <w:t>It was agreed that the incidents constituted a serious breach of the School</w:t>
      </w:r>
      <w:r w:rsidR="005D02ED">
        <w:rPr>
          <w:color w:val="000000"/>
        </w:rPr>
        <w:t>’s</w:t>
      </w:r>
      <w:r w:rsidRPr="00EE2097">
        <w:rPr>
          <w:color w:val="000000"/>
        </w:rPr>
        <w:t xml:space="preserve"> Behaviour Policy’. In view of this clear statement, it wasn’t incumbent on the GDC to explain this any further.</w:t>
      </w:r>
      <w:bookmarkEnd w:id="29"/>
    </w:p>
    <w:p w14:paraId="0C74CCC6" w14:textId="68CDA1FA" w:rsidR="00EC5C4B" w:rsidRPr="00EE2097" w:rsidRDefault="00E34B2D" w:rsidP="00972118">
      <w:pPr>
        <w:spacing w:before="100" w:beforeAutospacing="1" w:after="100" w:afterAutospacing="1"/>
        <w:ind w:left="1418" w:right="793"/>
        <w:jc w:val="both"/>
        <w:rPr>
          <w:color w:val="000000"/>
        </w:rPr>
      </w:pPr>
      <w:bookmarkStart w:id="30" w:name="para92"/>
      <w:r w:rsidRPr="00EE2097">
        <w:rPr>
          <w:color w:val="000000"/>
        </w:rPr>
        <w:t xml:space="preserve">92.  </w:t>
      </w:r>
      <w:r w:rsidR="00EC5C4B" w:rsidRPr="00EE2097">
        <w:rPr>
          <w:color w:val="000000"/>
        </w:rPr>
        <w:t xml:space="preserve">Concern </w:t>
      </w:r>
      <w:r w:rsidR="00361E0B">
        <w:rPr>
          <w:color w:val="000000"/>
        </w:rPr>
        <w:t>(</w:t>
      </w:r>
      <w:r w:rsidR="00EC5C4B" w:rsidRPr="00EE2097">
        <w:rPr>
          <w:color w:val="000000"/>
        </w:rPr>
        <w:t>ii) relates not to TZB</w:t>
      </w:r>
      <w:r w:rsidRPr="00EE2097">
        <w:rPr>
          <w:color w:val="000000"/>
        </w:rPr>
        <w:t>’</w:t>
      </w:r>
      <w:r w:rsidR="00EC5C4B" w:rsidRPr="00EE2097">
        <w:rPr>
          <w:color w:val="000000"/>
        </w:rPr>
        <w:t>s permanent exclusion, but rather to the situation prior to that exclusion. As such it wasn</w:t>
      </w:r>
      <w:r w:rsidRPr="00EE2097">
        <w:rPr>
          <w:color w:val="000000"/>
        </w:rPr>
        <w:t>’</w:t>
      </w:r>
      <w:r w:rsidR="00EC5C4B" w:rsidRPr="00EE2097">
        <w:rPr>
          <w:color w:val="000000"/>
        </w:rPr>
        <w:t>t necessary for the GDC to deal with that either.</w:t>
      </w:r>
      <w:bookmarkEnd w:id="30"/>
    </w:p>
    <w:p w14:paraId="77E0867E" w14:textId="33CBD0BC" w:rsidR="00EC5C4B" w:rsidRPr="00EE2097" w:rsidRDefault="00E34B2D" w:rsidP="00972118">
      <w:pPr>
        <w:spacing w:before="100" w:beforeAutospacing="1" w:after="100" w:afterAutospacing="1"/>
        <w:ind w:left="1418" w:right="793"/>
        <w:jc w:val="both"/>
        <w:rPr>
          <w:color w:val="000000"/>
        </w:rPr>
      </w:pPr>
      <w:bookmarkStart w:id="31" w:name="para93"/>
      <w:r w:rsidRPr="00EE2097">
        <w:rPr>
          <w:color w:val="000000"/>
        </w:rPr>
        <w:t xml:space="preserve">93.  </w:t>
      </w:r>
      <w:r w:rsidR="00EC5C4B" w:rsidRPr="00EE2097">
        <w:rPr>
          <w:color w:val="000000"/>
        </w:rPr>
        <w:t xml:space="preserve">Concern </w:t>
      </w:r>
      <w:r w:rsidR="00361E0B">
        <w:rPr>
          <w:color w:val="000000"/>
        </w:rPr>
        <w:t>(</w:t>
      </w:r>
      <w:r w:rsidR="00EC5C4B" w:rsidRPr="00EE2097">
        <w:rPr>
          <w:color w:val="000000"/>
        </w:rPr>
        <w:t>iii) is based on a misunderstanding on the part of the IRP about what paragraph 17 of the guidance says: it refers to giving an opportunity to the pupil, not the family, to present their case, and the GDC was aware that the School had taken a statement from TZB as to his account of events. As such, the GDC didn</w:t>
      </w:r>
      <w:r w:rsidR="00FD1636">
        <w:rPr>
          <w:color w:val="000000"/>
        </w:rPr>
        <w:t>’</w:t>
      </w:r>
      <w:r w:rsidR="00EC5C4B" w:rsidRPr="00EE2097">
        <w:rPr>
          <w:color w:val="000000"/>
        </w:rPr>
        <w:t>t need to address this specifically in its reasons.</w:t>
      </w:r>
      <w:bookmarkEnd w:id="31"/>
    </w:p>
    <w:p w14:paraId="7B94834F" w14:textId="4851D6E6" w:rsidR="00EC5C4B" w:rsidRPr="00EE2097" w:rsidRDefault="00A931A9" w:rsidP="00972118">
      <w:pPr>
        <w:spacing w:before="100" w:beforeAutospacing="1" w:after="100" w:afterAutospacing="1"/>
        <w:ind w:left="1418" w:right="793"/>
        <w:jc w:val="both"/>
        <w:rPr>
          <w:color w:val="000000"/>
        </w:rPr>
      </w:pPr>
      <w:bookmarkStart w:id="32" w:name="para94"/>
      <w:r w:rsidRPr="00EE2097">
        <w:rPr>
          <w:color w:val="000000"/>
        </w:rPr>
        <w:t xml:space="preserve">94.  </w:t>
      </w:r>
      <w:r w:rsidR="00EC5C4B" w:rsidRPr="00EE2097">
        <w:rPr>
          <w:color w:val="000000"/>
        </w:rPr>
        <w:t xml:space="preserve">Concern </w:t>
      </w:r>
      <w:r w:rsidR="00361E0B">
        <w:rPr>
          <w:color w:val="000000"/>
        </w:rPr>
        <w:t>(</w:t>
      </w:r>
      <w:r w:rsidR="00EC5C4B" w:rsidRPr="00EE2097">
        <w:rPr>
          <w:color w:val="000000"/>
        </w:rPr>
        <w:t>iv) is raised in the context of the IRP having accepted the School</w:t>
      </w:r>
      <w:r w:rsidR="00FA0405">
        <w:rPr>
          <w:color w:val="000000"/>
        </w:rPr>
        <w:t>’</w:t>
      </w:r>
      <w:r w:rsidR="00EC5C4B" w:rsidRPr="00EE2097">
        <w:rPr>
          <w:color w:val="000000"/>
        </w:rPr>
        <w:t>s finding that the second alleged incident did in fact occur. As such, the GDC was not required to address this concern specifically in its reasons.</w:t>
      </w:r>
      <w:bookmarkEnd w:id="32"/>
    </w:p>
    <w:p w14:paraId="0B7E7180" w14:textId="5F0CC115" w:rsidR="00EC5C4B" w:rsidRPr="00EE2097" w:rsidRDefault="00A931A9" w:rsidP="00972118">
      <w:pPr>
        <w:spacing w:before="100" w:beforeAutospacing="1" w:after="100" w:afterAutospacing="1"/>
        <w:ind w:left="1418" w:right="793"/>
        <w:jc w:val="both"/>
        <w:rPr>
          <w:color w:val="000000"/>
        </w:rPr>
      </w:pPr>
      <w:bookmarkStart w:id="33" w:name="para95"/>
      <w:r w:rsidRPr="00EE2097">
        <w:rPr>
          <w:color w:val="000000"/>
        </w:rPr>
        <w:t xml:space="preserve">95.  </w:t>
      </w:r>
      <w:r w:rsidR="00EC5C4B" w:rsidRPr="00EE2097">
        <w:rPr>
          <w:color w:val="000000"/>
        </w:rPr>
        <w:t xml:space="preserve">Concern </w:t>
      </w:r>
      <w:r w:rsidR="00361E0B">
        <w:rPr>
          <w:color w:val="000000"/>
        </w:rPr>
        <w:t>(</w:t>
      </w:r>
      <w:r w:rsidR="00EC5C4B" w:rsidRPr="00EE2097">
        <w:rPr>
          <w:color w:val="000000"/>
        </w:rPr>
        <w:t>v) is adequately addressed by the GDC</w:t>
      </w:r>
      <w:r w:rsidRPr="00EE2097">
        <w:rPr>
          <w:color w:val="000000"/>
        </w:rPr>
        <w:t>’</w:t>
      </w:r>
      <w:r w:rsidR="00EC5C4B" w:rsidRPr="00EE2097">
        <w:rPr>
          <w:color w:val="000000"/>
        </w:rPr>
        <w:t xml:space="preserve">s explanation of the consideration it gave to the support afforded to TZB in the opening paragraph of page 2 of the GDC reconsideration meeting </w:t>
      </w:r>
      <w:r w:rsidR="003D6B8A" w:rsidRPr="00EE2097">
        <w:rPr>
          <w:color w:val="000000"/>
        </w:rPr>
        <w:t>…</w:t>
      </w:r>
      <w:r w:rsidR="00EC5C4B" w:rsidRPr="00EE2097">
        <w:rPr>
          <w:color w:val="000000"/>
        </w:rPr>
        <w:t>:</w:t>
      </w:r>
      <w:bookmarkEnd w:id="33"/>
    </w:p>
    <w:p w14:paraId="0CD50276" w14:textId="08EDB55A" w:rsidR="00EC5C4B" w:rsidRDefault="003D6B8A" w:rsidP="00972118">
      <w:pPr>
        <w:ind w:left="1701" w:right="793"/>
        <w:jc w:val="both"/>
        <w:rPr>
          <w:color w:val="000000"/>
        </w:rPr>
      </w:pPr>
      <w:r w:rsidRPr="00EE2097">
        <w:rPr>
          <w:color w:val="000000"/>
        </w:rPr>
        <w:t>‘</w:t>
      </w:r>
      <w:r w:rsidR="00E66D64">
        <w:rPr>
          <w:color w:val="000000"/>
        </w:rPr>
        <w:t xml:space="preserve">[5]  </w:t>
      </w:r>
      <w:r w:rsidRPr="00EE2097">
        <w:rPr>
          <w:color w:val="000000"/>
        </w:rPr>
        <w:t>T</w:t>
      </w:r>
      <w:r w:rsidR="00EC5C4B" w:rsidRPr="00EE2097">
        <w:rPr>
          <w:color w:val="000000"/>
        </w:rPr>
        <w:t xml:space="preserve">he Panel commented on the level of support provided to [TZB], he had been provided with support since the transition period in Year 6, this had been fully outlined in the pack submitted to the original GDC meeting. It was also noted that the Pastoral Support Plan dated 20 November 2020 had stated that </w:t>
      </w:r>
      <w:r w:rsidRPr="00EE2097">
        <w:rPr>
          <w:color w:val="000000"/>
        </w:rPr>
        <w:t>“</w:t>
      </w:r>
      <w:r w:rsidR="00EC5C4B" w:rsidRPr="00EE2097">
        <w:rPr>
          <w:color w:val="000000"/>
        </w:rPr>
        <w:t>both school and home have identified a marked change in his attitude this year as he is presenting increasingly more defiant</w:t>
      </w:r>
      <w:r w:rsidRPr="00EE2097">
        <w:rPr>
          <w:color w:val="000000"/>
        </w:rPr>
        <w:t>”</w:t>
      </w:r>
      <w:r w:rsidR="00EC5C4B" w:rsidRPr="00EE2097">
        <w:rPr>
          <w:color w:val="000000"/>
        </w:rPr>
        <w:t xml:space="preserve">. It also stated: </w:t>
      </w:r>
      <w:r w:rsidRPr="00EE2097">
        <w:rPr>
          <w:color w:val="000000"/>
        </w:rPr>
        <w:t>“</w:t>
      </w:r>
      <w:r w:rsidR="00EC5C4B" w:rsidRPr="00EE2097">
        <w:rPr>
          <w:color w:val="000000"/>
        </w:rPr>
        <w:t>he had behaved dangerously putting others at risk and causing disruption</w:t>
      </w:r>
      <w:r w:rsidR="0037146C">
        <w:rPr>
          <w:color w:val="000000"/>
        </w:rPr>
        <w:t>”</w:t>
      </w:r>
      <w:r w:rsidR="00EC5C4B" w:rsidRPr="00EE2097">
        <w:rPr>
          <w:color w:val="000000"/>
        </w:rPr>
        <w:t>.</w:t>
      </w:r>
    </w:p>
    <w:p w14:paraId="3F7735DF" w14:textId="77777777" w:rsidR="0037146C" w:rsidRPr="00EE2097" w:rsidRDefault="0037146C" w:rsidP="00972118">
      <w:pPr>
        <w:ind w:left="1701" w:right="793"/>
        <w:jc w:val="both"/>
        <w:rPr>
          <w:color w:val="000000"/>
        </w:rPr>
      </w:pPr>
    </w:p>
    <w:p w14:paraId="62CC1CDE" w14:textId="5B5A7537" w:rsidR="00EC5C4B" w:rsidRDefault="00EC5C4B" w:rsidP="00972118">
      <w:pPr>
        <w:ind w:left="1701" w:right="793"/>
        <w:jc w:val="both"/>
        <w:rPr>
          <w:color w:val="000000"/>
        </w:rPr>
      </w:pPr>
      <w:r w:rsidRPr="00EE2097">
        <w:rPr>
          <w:color w:val="000000"/>
        </w:rPr>
        <w:t>…</w:t>
      </w:r>
    </w:p>
    <w:p w14:paraId="634FC34F" w14:textId="77777777" w:rsidR="0037146C" w:rsidRPr="00EE2097" w:rsidRDefault="0037146C" w:rsidP="00972118">
      <w:pPr>
        <w:ind w:left="1701" w:right="793"/>
        <w:jc w:val="both"/>
        <w:rPr>
          <w:color w:val="000000"/>
        </w:rPr>
      </w:pPr>
    </w:p>
    <w:p w14:paraId="4B7C4CBC" w14:textId="1CF91BBA" w:rsidR="00EC5C4B" w:rsidRPr="00EE2097" w:rsidRDefault="00E66D64" w:rsidP="00972118">
      <w:pPr>
        <w:ind w:left="1701" w:right="793"/>
        <w:jc w:val="both"/>
        <w:rPr>
          <w:color w:val="000000"/>
        </w:rPr>
      </w:pPr>
      <w:r>
        <w:rPr>
          <w:color w:val="000000"/>
        </w:rPr>
        <w:t xml:space="preserve">[8]  </w:t>
      </w:r>
      <w:r w:rsidR="00EC5C4B" w:rsidRPr="00EE2097">
        <w:rPr>
          <w:color w:val="000000"/>
        </w:rPr>
        <w:t>The Panel also commented that they had asked the family and the School if there was anything further that could have been done to support [TZB] and nothing further was identified.</w:t>
      </w:r>
      <w:r w:rsidR="00604664">
        <w:rPr>
          <w:color w:val="000000"/>
        </w:rPr>
        <w:t>’</w:t>
      </w:r>
    </w:p>
    <w:p w14:paraId="3FF9264C" w14:textId="4D4517B2" w:rsidR="00FF0074" w:rsidRPr="00026DB4" w:rsidRDefault="00604664" w:rsidP="00972118">
      <w:pPr>
        <w:pStyle w:val="ParaLevel1"/>
        <w:numPr>
          <w:ilvl w:val="0"/>
          <w:numId w:val="0"/>
        </w:numPr>
        <w:ind w:left="1418" w:right="793"/>
        <w:rPr>
          <w:szCs w:val="24"/>
        </w:rPr>
      </w:pPr>
      <w:bookmarkStart w:id="34" w:name="para96"/>
      <w:r w:rsidRPr="00026DB4">
        <w:rPr>
          <w:color w:val="000000"/>
          <w:szCs w:val="24"/>
        </w:rPr>
        <w:t xml:space="preserve">96.  </w:t>
      </w:r>
      <w:r w:rsidR="00770159" w:rsidRPr="00026DB4">
        <w:rPr>
          <w:color w:val="000000"/>
          <w:szCs w:val="24"/>
        </w:rPr>
        <w:t xml:space="preserve">In respect of concern </w:t>
      </w:r>
      <w:r w:rsidR="003D4786">
        <w:rPr>
          <w:color w:val="000000"/>
          <w:szCs w:val="24"/>
        </w:rPr>
        <w:t>(</w:t>
      </w:r>
      <w:r w:rsidR="00770159" w:rsidRPr="00026DB4">
        <w:rPr>
          <w:color w:val="000000"/>
          <w:szCs w:val="24"/>
        </w:rPr>
        <w:t>vi), the fourth paragraph after TZB</w:t>
      </w:r>
      <w:r w:rsidR="00026DB4">
        <w:rPr>
          <w:color w:val="000000"/>
          <w:szCs w:val="24"/>
        </w:rPr>
        <w:t>’</w:t>
      </w:r>
      <w:r w:rsidR="00770159" w:rsidRPr="00026DB4">
        <w:rPr>
          <w:color w:val="000000"/>
          <w:szCs w:val="24"/>
        </w:rPr>
        <w:t>s name on the first page of the minutes of the GDC reconsideration meeting explains that the GDC had considered whether TZB would miss any examinations and was aware that arrangements had been made to allow TZB to take his exams</w:t>
      </w:r>
      <w:bookmarkEnd w:id="34"/>
      <w:r w:rsidRPr="00026DB4">
        <w:rPr>
          <w:color w:val="000000"/>
          <w:szCs w:val="24"/>
        </w:rPr>
        <w:t>.”</w:t>
      </w:r>
    </w:p>
    <w:p w14:paraId="79C3C04E" w14:textId="41A93EFC" w:rsidR="00BA0DA2" w:rsidRDefault="003B6EF4" w:rsidP="00972118">
      <w:pPr>
        <w:pStyle w:val="ParaLevel1"/>
        <w:numPr>
          <w:ilvl w:val="0"/>
          <w:numId w:val="0"/>
        </w:numPr>
        <w:ind w:left="720"/>
        <w:rPr>
          <w:szCs w:val="24"/>
        </w:rPr>
      </w:pPr>
      <w:r>
        <w:rPr>
          <w:szCs w:val="24"/>
        </w:rPr>
        <w:t>(I have inserted the square-bracketed paragraph numbers in the q</w:t>
      </w:r>
      <w:r w:rsidR="00FD73DA">
        <w:rPr>
          <w:szCs w:val="24"/>
        </w:rPr>
        <w:t>uote</w:t>
      </w:r>
      <w:r w:rsidR="00EC0A10">
        <w:rPr>
          <w:szCs w:val="24"/>
        </w:rPr>
        <w:t>d</w:t>
      </w:r>
      <w:r w:rsidR="00FD73DA">
        <w:rPr>
          <w:szCs w:val="24"/>
        </w:rPr>
        <w:t xml:space="preserve"> passages in para. 95</w:t>
      </w:r>
      <w:r w:rsidR="006019FC">
        <w:rPr>
          <w:szCs w:val="24"/>
        </w:rPr>
        <w:t xml:space="preserve">, to allow cross-reference to my para. </w:t>
      </w:r>
      <w:r w:rsidR="006561D7">
        <w:rPr>
          <w:szCs w:val="24"/>
        </w:rPr>
        <w:t>55</w:t>
      </w:r>
      <w:r w:rsidR="00FD73DA">
        <w:rPr>
          <w:szCs w:val="24"/>
        </w:rPr>
        <w:t>.)</w:t>
      </w:r>
    </w:p>
    <w:p w14:paraId="071B0D36" w14:textId="77777777" w:rsidR="00FD73DA" w:rsidRPr="00047CB6" w:rsidRDefault="00FD73DA" w:rsidP="00972118">
      <w:pPr>
        <w:pStyle w:val="ParaLevel1"/>
        <w:numPr>
          <w:ilvl w:val="0"/>
          <w:numId w:val="0"/>
        </w:numPr>
        <w:ind w:left="720" w:hanging="720"/>
        <w:rPr>
          <w:szCs w:val="24"/>
          <w:u w:val="single"/>
        </w:rPr>
      </w:pPr>
      <w:r>
        <w:rPr>
          <w:szCs w:val="24"/>
          <w:u w:val="single"/>
        </w:rPr>
        <w:t>THE APPEAL</w:t>
      </w:r>
    </w:p>
    <w:p w14:paraId="24A21D50" w14:textId="14BD1044" w:rsidR="00246BB1" w:rsidRPr="00BB13F7" w:rsidRDefault="00523840" w:rsidP="00972118">
      <w:pPr>
        <w:pStyle w:val="ParaLevel1"/>
        <w:keepNext/>
        <w:rPr>
          <w:szCs w:val="24"/>
        </w:rPr>
      </w:pPr>
      <w:r w:rsidRPr="00BB13F7">
        <w:rPr>
          <w:szCs w:val="24"/>
        </w:rPr>
        <w:t xml:space="preserve">Ms Harrison </w:t>
      </w:r>
      <w:r w:rsidR="00F42334" w:rsidRPr="00BB13F7">
        <w:rPr>
          <w:szCs w:val="24"/>
        </w:rPr>
        <w:t xml:space="preserve">did not challenge the Judge’s finding at para. 96 that </w:t>
      </w:r>
      <w:r w:rsidR="00D47A17" w:rsidRPr="00BB13F7">
        <w:rPr>
          <w:szCs w:val="24"/>
        </w:rPr>
        <w:t xml:space="preserve">the GDC had given reasons addressing concern (vi).  </w:t>
      </w:r>
      <w:r w:rsidR="004C7B82" w:rsidRPr="00BB13F7">
        <w:rPr>
          <w:szCs w:val="24"/>
        </w:rPr>
        <w:t>As regards the other concerns, it was her</w:t>
      </w:r>
      <w:r w:rsidR="00BB13F7" w:rsidRPr="00BB13F7">
        <w:rPr>
          <w:szCs w:val="24"/>
        </w:rPr>
        <w:t xml:space="preserve"> case </w:t>
      </w:r>
      <w:r w:rsidR="0032131B" w:rsidRPr="00BB13F7">
        <w:rPr>
          <w:szCs w:val="24"/>
        </w:rPr>
        <w:t xml:space="preserve">that the exercise carried out by the Judge in paras. 91-94 of his judgment </w:t>
      </w:r>
      <w:r w:rsidR="000C5267">
        <w:rPr>
          <w:szCs w:val="24"/>
        </w:rPr>
        <w:t xml:space="preserve">as regards concerns (i)-(iv) </w:t>
      </w:r>
      <w:r w:rsidR="0032131B" w:rsidRPr="00BB13F7">
        <w:rPr>
          <w:szCs w:val="24"/>
        </w:rPr>
        <w:t>was illegitimate.  He</w:t>
      </w:r>
      <w:r w:rsidR="00C80F63" w:rsidRPr="00BB13F7">
        <w:rPr>
          <w:szCs w:val="24"/>
        </w:rPr>
        <w:t xml:space="preserve"> was not identifying reasons actually given by </w:t>
      </w:r>
      <w:r w:rsidR="005D02ED" w:rsidRPr="00BB13F7">
        <w:rPr>
          <w:szCs w:val="24"/>
        </w:rPr>
        <w:t xml:space="preserve">the GDC </w:t>
      </w:r>
      <w:r w:rsidR="008F3AC6" w:rsidRPr="00BB13F7">
        <w:rPr>
          <w:szCs w:val="24"/>
        </w:rPr>
        <w:t xml:space="preserve">for why the IRC’s </w:t>
      </w:r>
      <w:r w:rsidR="0086525E" w:rsidRPr="00BB13F7">
        <w:rPr>
          <w:szCs w:val="24"/>
        </w:rPr>
        <w:t>concerns</w:t>
      </w:r>
      <w:r w:rsidR="008F3AC6" w:rsidRPr="00BB13F7">
        <w:rPr>
          <w:szCs w:val="24"/>
        </w:rPr>
        <w:t xml:space="preserve"> did not </w:t>
      </w:r>
      <w:r w:rsidR="00794569" w:rsidRPr="00BB13F7">
        <w:rPr>
          <w:szCs w:val="24"/>
        </w:rPr>
        <w:t>lead it to change</w:t>
      </w:r>
      <w:r w:rsidR="008F3AC6" w:rsidRPr="00BB13F7">
        <w:rPr>
          <w:szCs w:val="24"/>
        </w:rPr>
        <w:t xml:space="preserve"> its decision but </w:t>
      </w:r>
      <w:r w:rsidR="00AF543A" w:rsidRPr="00BB13F7">
        <w:rPr>
          <w:szCs w:val="24"/>
        </w:rPr>
        <w:t xml:space="preserve">reasons why in his </w:t>
      </w:r>
      <w:r w:rsidR="00AC435C" w:rsidRPr="00BB13F7">
        <w:rPr>
          <w:szCs w:val="24"/>
        </w:rPr>
        <w:t>opinion</w:t>
      </w:r>
      <w:r w:rsidR="00AF543A" w:rsidRPr="00BB13F7">
        <w:rPr>
          <w:szCs w:val="24"/>
        </w:rPr>
        <w:t xml:space="preserve"> it was unnecessary for it to do so.</w:t>
      </w:r>
      <w:r w:rsidR="00AC435C" w:rsidRPr="00BB13F7">
        <w:rPr>
          <w:szCs w:val="24"/>
        </w:rPr>
        <w:t xml:space="preserve">  </w:t>
      </w:r>
      <w:r w:rsidR="00803884" w:rsidRPr="00BB13F7">
        <w:rPr>
          <w:szCs w:val="24"/>
        </w:rPr>
        <w:t xml:space="preserve">That </w:t>
      </w:r>
      <w:r w:rsidR="00895909" w:rsidRPr="00BB13F7">
        <w:rPr>
          <w:szCs w:val="24"/>
        </w:rPr>
        <w:t>could not repair the GDC’s failure</w:t>
      </w:r>
      <w:r w:rsidR="003D4786" w:rsidRPr="00BB13F7">
        <w:rPr>
          <w:szCs w:val="24"/>
        </w:rPr>
        <w:t xml:space="preserve"> to give its own reasons</w:t>
      </w:r>
      <w:r w:rsidR="00FA2219" w:rsidRPr="00BB13F7">
        <w:rPr>
          <w:szCs w:val="24"/>
        </w:rPr>
        <w:t>.</w:t>
      </w:r>
      <w:r w:rsidR="00B67C70" w:rsidRPr="00BB13F7">
        <w:rPr>
          <w:szCs w:val="24"/>
        </w:rPr>
        <w:t xml:space="preserve">  </w:t>
      </w:r>
      <w:r w:rsidR="00D42BC8" w:rsidRPr="00BB13F7">
        <w:rPr>
          <w:szCs w:val="24"/>
        </w:rPr>
        <w:t xml:space="preserve">Given the role of the IRP </w:t>
      </w:r>
      <w:r w:rsidR="00782CB4" w:rsidRPr="00BB13F7">
        <w:rPr>
          <w:szCs w:val="24"/>
        </w:rPr>
        <w:t xml:space="preserve">as the independent monitor of school exclusion decisions, it was essential that </w:t>
      </w:r>
      <w:r w:rsidR="00D059D5" w:rsidRPr="00BB13F7">
        <w:rPr>
          <w:szCs w:val="24"/>
        </w:rPr>
        <w:t xml:space="preserve">a GDC undertaking a reconsideration in response to </w:t>
      </w:r>
      <w:r w:rsidR="00F35BE3" w:rsidRPr="00BB13F7">
        <w:rPr>
          <w:szCs w:val="24"/>
        </w:rPr>
        <w:t xml:space="preserve">a IRP decision should give reasons for </w:t>
      </w:r>
      <w:r w:rsidR="00814BF4" w:rsidRPr="00BB13F7">
        <w:rPr>
          <w:szCs w:val="24"/>
        </w:rPr>
        <w:t>each and every point of concern raised.</w:t>
      </w:r>
      <w:r w:rsidR="00752371">
        <w:rPr>
          <w:szCs w:val="24"/>
        </w:rPr>
        <w:t xml:space="preserve">  </w:t>
      </w:r>
      <w:r w:rsidR="00BB13F7">
        <w:rPr>
          <w:szCs w:val="24"/>
        </w:rPr>
        <w:t xml:space="preserve">As regards concern (v), </w:t>
      </w:r>
      <w:r w:rsidR="005C0F0D">
        <w:rPr>
          <w:szCs w:val="24"/>
        </w:rPr>
        <w:t xml:space="preserve">the position was </w:t>
      </w:r>
      <w:r w:rsidR="00752371">
        <w:rPr>
          <w:szCs w:val="24"/>
        </w:rPr>
        <w:t>rather</w:t>
      </w:r>
      <w:r w:rsidR="00840C74">
        <w:rPr>
          <w:szCs w:val="24"/>
        </w:rPr>
        <w:t xml:space="preserve"> </w:t>
      </w:r>
      <w:r w:rsidR="005C0F0D">
        <w:rPr>
          <w:szCs w:val="24"/>
        </w:rPr>
        <w:t xml:space="preserve">different since the Judge identified </w:t>
      </w:r>
      <w:r w:rsidR="00A776F5">
        <w:rPr>
          <w:szCs w:val="24"/>
        </w:rPr>
        <w:t>passage</w:t>
      </w:r>
      <w:r w:rsidR="00925B4F">
        <w:rPr>
          <w:szCs w:val="24"/>
        </w:rPr>
        <w:t>s</w:t>
      </w:r>
      <w:r w:rsidR="00A776F5">
        <w:rPr>
          <w:szCs w:val="24"/>
        </w:rPr>
        <w:t xml:space="preserve"> in the minutes</w:t>
      </w:r>
      <w:r w:rsidR="00840C74">
        <w:rPr>
          <w:szCs w:val="24"/>
        </w:rPr>
        <w:t xml:space="preserve"> which he said adequately addressed the IRP’s point; but </w:t>
      </w:r>
      <w:r w:rsidR="00A776F5">
        <w:rPr>
          <w:szCs w:val="24"/>
        </w:rPr>
        <w:t xml:space="preserve">she submitted that they did not in fact </w:t>
      </w:r>
      <w:r w:rsidR="00925B4F">
        <w:rPr>
          <w:szCs w:val="24"/>
        </w:rPr>
        <w:t xml:space="preserve">do so. </w:t>
      </w:r>
      <w:r w:rsidR="00A776F5">
        <w:rPr>
          <w:szCs w:val="24"/>
        </w:rPr>
        <w:t xml:space="preserve"> </w:t>
      </w:r>
      <w:r w:rsidR="00B37DB5">
        <w:t xml:space="preserve">She referred us to the </w:t>
      </w:r>
      <w:r w:rsidR="00B37DB5" w:rsidRPr="00BB13F7">
        <w:rPr>
          <w:i/>
          <w:iCs/>
        </w:rPr>
        <w:t>XYZ</w:t>
      </w:r>
      <w:r w:rsidR="00B37DB5">
        <w:t xml:space="preserve"> case (see para. </w:t>
      </w:r>
      <w:r w:rsidR="006561D7">
        <w:t>50</w:t>
      </w:r>
      <w:r w:rsidR="00B37DB5">
        <w:t xml:space="preserve"> above)</w:t>
      </w:r>
      <w:r w:rsidR="00FB0783">
        <w:t xml:space="preserve"> in order to show the degree of detail in which the governors in that case</w:t>
      </w:r>
      <w:r w:rsidR="00B37DB5">
        <w:t xml:space="preserve"> had given their reasons for maintaining their original decision.  She also referred to a decision of Mr Philip Mott QC in </w:t>
      </w:r>
      <w:r w:rsidR="00B37DB5" w:rsidRPr="00BB13F7">
        <w:rPr>
          <w:i/>
          <w:iCs/>
        </w:rPr>
        <w:t>R (AT and BT) v London Borough of Barnet</w:t>
      </w:r>
      <w:r w:rsidR="00B37DB5">
        <w:t xml:space="preserve"> [2019] EWHC 3404 (Admin), in which he said that cogent reasons would be required for a local authority not following a recommendation of the </w:t>
      </w:r>
      <w:r w:rsidR="007B1C64">
        <w:t>First-tier Tribunal (Special Educational Needs and Disability)</w:t>
      </w:r>
      <w:r w:rsidR="00B37DB5">
        <w:t xml:space="preserve">.  </w:t>
      </w:r>
    </w:p>
    <w:p w14:paraId="532B556A" w14:textId="255EFC46" w:rsidR="008E6466" w:rsidRDefault="00357DB0" w:rsidP="00972118">
      <w:pPr>
        <w:pStyle w:val="ParaLevel1"/>
        <w:rPr>
          <w:szCs w:val="24"/>
        </w:rPr>
      </w:pPr>
      <w:r>
        <w:rPr>
          <w:szCs w:val="24"/>
        </w:rPr>
        <w:t>I do not accept th</w:t>
      </w:r>
      <w:r w:rsidR="002F2366">
        <w:rPr>
          <w:szCs w:val="24"/>
        </w:rPr>
        <w:t>e</w:t>
      </w:r>
      <w:r>
        <w:rPr>
          <w:szCs w:val="24"/>
        </w:rPr>
        <w:t xml:space="preserve"> submission</w:t>
      </w:r>
      <w:r w:rsidR="002F2366">
        <w:rPr>
          <w:szCs w:val="24"/>
        </w:rPr>
        <w:t xml:space="preserve"> that the GDC was required as a matter of law to address every </w:t>
      </w:r>
      <w:r w:rsidR="00DB2A8C">
        <w:rPr>
          <w:szCs w:val="24"/>
        </w:rPr>
        <w:t>specific point made by the IRP</w:t>
      </w:r>
      <w:r>
        <w:rPr>
          <w:szCs w:val="24"/>
        </w:rPr>
        <w:t xml:space="preserve">.  </w:t>
      </w:r>
      <w:r w:rsidR="00167974">
        <w:rPr>
          <w:szCs w:val="24"/>
        </w:rPr>
        <w:t>I can see that it m</w:t>
      </w:r>
      <w:r w:rsidR="00DB2A8C">
        <w:rPr>
          <w:szCs w:val="24"/>
        </w:rPr>
        <w:t>ight</w:t>
      </w:r>
      <w:r w:rsidR="00167974">
        <w:rPr>
          <w:szCs w:val="24"/>
        </w:rPr>
        <w:t xml:space="preserve"> </w:t>
      </w:r>
      <w:r w:rsidR="00DB2A8C">
        <w:rPr>
          <w:szCs w:val="24"/>
        </w:rPr>
        <w:t xml:space="preserve">have </w:t>
      </w:r>
      <w:r w:rsidR="00167974">
        <w:rPr>
          <w:szCs w:val="24"/>
        </w:rPr>
        <w:t>be</w:t>
      </w:r>
      <w:r w:rsidR="00DB2A8C">
        <w:rPr>
          <w:szCs w:val="24"/>
        </w:rPr>
        <w:t>en</w:t>
      </w:r>
      <w:r w:rsidR="00167974">
        <w:rPr>
          <w:szCs w:val="24"/>
        </w:rPr>
        <w:t xml:space="preserve"> respectful to the IRP</w:t>
      </w:r>
      <w:r w:rsidR="00A94AB7">
        <w:rPr>
          <w:szCs w:val="24"/>
        </w:rPr>
        <w:t>, and perhaps also a good discipline</w:t>
      </w:r>
      <w:r w:rsidR="006D42F9">
        <w:rPr>
          <w:szCs w:val="24"/>
        </w:rPr>
        <w:t>,</w:t>
      </w:r>
      <w:r w:rsidR="00BA09F5">
        <w:rPr>
          <w:szCs w:val="24"/>
        </w:rPr>
        <w:t xml:space="preserve"> for </w:t>
      </w:r>
      <w:r w:rsidR="00DB2A8C">
        <w:rPr>
          <w:szCs w:val="24"/>
        </w:rPr>
        <w:t>it to have done so</w:t>
      </w:r>
      <w:r w:rsidR="0037470C">
        <w:rPr>
          <w:szCs w:val="24"/>
        </w:rPr>
        <w:t>; b</w:t>
      </w:r>
      <w:r w:rsidR="002666C2">
        <w:rPr>
          <w:szCs w:val="24"/>
        </w:rPr>
        <w:t xml:space="preserve">ut </w:t>
      </w:r>
      <w:r w:rsidR="003079A5">
        <w:rPr>
          <w:szCs w:val="24"/>
        </w:rPr>
        <w:t xml:space="preserve">I see no reason to depart from the usual approach </w:t>
      </w:r>
      <w:r w:rsidR="0037470C">
        <w:rPr>
          <w:szCs w:val="24"/>
        </w:rPr>
        <w:t>summarised</w:t>
      </w:r>
      <w:r w:rsidR="00271C8F">
        <w:rPr>
          <w:szCs w:val="24"/>
        </w:rPr>
        <w:t xml:space="preserve"> at para. </w:t>
      </w:r>
      <w:r w:rsidR="00E76FE1">
        <w:rPr>
          <w:szCs w:val="24"/>
        </w:rPr>
        <w:t>8</w:t>
      </w:r>
      <w:r w:rsidR="007B1C64">
        <w:rPr>
          <w:szCs w:val="24"/>
        </w:rPr>
        <w:t>8</w:t>
      </w:r>
      <w:r w:rsidR="00E76FE1">
        <w:rPr>
          <w:szCs w:val="24"/>
        </w:rPr>
        <w:t xml:space="preserve"> </w:t>
      </w:r>
      <w:r w:rsidR="00271C8F">
        <w:rPr>
          <w:szCs w:val="24"/>
        </w:rPr>
        <w:t>above</w:t>
      </w:r>
      <w:r w:rsidR="0037470C">
        <w:rPr>
          <w:szCs w:val="24"/>
        </w:rPr>
        <w:t xml:space="preserve">.  </w:t>
      </w:r>
      <w:r w:rsidR="004D555F">
        <w:rPr>
          <w:szCs w:val="24"/>
        </w:rPr>
        <w:t xml:space="preserve">If the concerns </w:t>
      </w:r>
      <w:r w:rsidR="003205FE">
        <w:rPr>
          <w:szCs w:val="24"/>
        </w:rPr>
        <w:t xml:space="preserve">raised by the IRC were </w:t>
      </w:r>
      <w:r w:rsidR="00401015">
        <w:rPr>
          <w:szCs w:val="24"/>
        </w:rPr>
        <w:t>irrelevant</w:t>
      </w:r>
      <w:r w:rsidR="008D490B">
        <w:rPr>
          <w:szCs w:val="24"/>
        </w:rPr>
        <w:t xml:space="preserve">, or of only marginal significance, to </w:t>
      </w:r>
      <w:r w:rsidR="00D838D4">
        <w:rPr>
          <w:szCs w:val="24"/>
        </w:rPr>
        <w:t xml:space="preserve">the decision whether TZB should be reinstated, </w:t>
      </w:r>
      <w:r w:rsidR="00207AC0">
        <w:rPr>
          <w:szCs w:val="24"/>
        </w:rPr>
        <w:t xml:space="preserve">a failure to address them specifically </w:t>
      </w:r>
      <w:r w:rsidR="00C04345">
        <w:rPr>
          <w:szCs w:val="24"/>
        </w:rPr>
        <w:t xml:space="preserve">cannot invalidate the </w:t>
      </w:r>
      <w:r w:rsidR="00451519">
        <w:rPr>
          <w:szCs w:val="24"/>
        </w:rPr>
        <w:t>decision itself</w:t>
      </w:r>
      <w:r w:rsidR="00FE1A78">
        <w:rPr>
          <w:szCs w:val="24"/>
        </w:rPr>
        <w:t>.</w:t>
      </w:r>
      <w:r w:rsidR="00BD17D3">
        <w:rPr>
          <w:szCs w:val="24"/>
        </w:rPr>
        <w:t xml:space="preserve">  It is </w:t>
      </w:r>
      <w:r w:rsidR="00487E2D">
        <w:rPr>
          <w:szCs w:val="24"/>
        </w:rPr>
        <w:t>r</w:t>
      </w:r>
      <w:r w:rsidR="00BD17D3">
        <w:rPr>
          <w:szCs w:val="24"/>
        </w:rPr>
        <w:t>elevant</w:t>
      </w:r>
      <w:r w:rsidR="00304EED">
        <w:rPr>
          <w:szCs w:val="24"/>
        </w:rPr>
        <w:t xml:space="preserve"> </w:t>
      </w:r>
      <w:r w:rsidR="00487E2D">
        <w:rPr>
          <w:szCs w:val="24"/>
        </w:rPr>
        <w:t xml:space="preserve">in this connection </w:t>
      </w:r>
      <w:r w:rsidR="00304EED">
        <w:rPr>
          <w:szCs w:val="24"/>
        </w:rPr>
        <w:t>that</w:t>
      </w:r>
      <w:r w:rsidR="00BD17D3">
        <w:rPr>
          <w:szCs w:val="24"/>
        </w:rPr>
        <w:t xml:space="preserve">, as I have already noted, the IRP itself produced no definitive list of the concerns which it </w:t>
      </w:r>
      <w:r w:rsidR="00EC5EB9">
        <w:rPr>
          <w:szCs w:val="24"/>
        </w:rPr>
        <w:t>believed</w:t>
      </w:r>
      <w:r w:rsidR="00304EED">
        <w:rPr>
          <w:szCs w:val="24"/>
        </w:rPr>
        <w:t xml:space="preserve"> the </w:t>
      </w:r>
      <w:r w:rsidR="00EC5EB9">
        <w:rPr>
          <w:szCs w:val="24"/>
        </w:rPr>
        <w:t>GDC</w:t>
      </w:r>
      <w:r w:rsidR="00304EED">
        <w:rPr>
          <w:szCs w:val="24"/>
        </w:rPr>
        <w:t xml:space="preserve"> should address</w:t>
      </w:r>
      <w:r w:rsidR="00EC5EB9">
        <w:rPr>
          <w:szCs w:val="24"/>
        </w:rPr>
        <w:t xml:space="preserve">.  Section 8 includes a variety of </w:t>
      </w:r>
      <w:r w:rsidR="006932DA">
        <w:rPr>
          <w:szCs w:val="24"/>
        </w:rPr>
        <w:t xml:space="preserve">critical observations about the </w:t>
      </w:r>
      <w:r w:rsidR="00E00959">
        <w:rPr>
          <w:szCs w:val="24"/>
        </w:rPr>
        <w:t>previous process</w:t>
      </w:r>
      <w:r w:rsidR="006932DA">
        <w:rPr>
          <w:szCs w:val="24"/>
        </w:rPr>
        <w:t xml:space="preserve"> of varying </w:t>
      </w:r>
      <w:r w:rsidR="00E00959">
        <w:rPr>
          <w:szCs w:val="24"/>
        </w:rPr>
        <w:t>degrees</w:t>
      </w:r>
      <w:r w:rsidR="006932DA">
        <w:rPr>
          <w:szCs w:val="24"/>
        </w:rPr>
        <w:t xml:space="preserve"> </w:t>
      </w:r>
      <w:r w:rsidR="00E00959">
        <w:rPr>
          <w:szCs w:val="24"/>
        </w:rPr>
        <w:t xml:space="preserve">of </w:t>
      </w:r>
      <w:r w:rsidR="00F314AB">
        <w:rPr>
          <w:szCs w:val="24"/>
        </w:rPr>
        <w:t>significance</w:t>
      </w:r>
      <w:r w:rsidR="00FE092A">
        <w:rPr>
          <w:szCs w:val="24"/>
        </w:rPr>
        <w:t xml:space="preserve">, some </w:t>
      </w:r>
      <w:r w:rsidR="00B33816">
        <w:rPr>
          <w:szCs w:val="24"/>
        </w:rPr>
        <w:t>of which are</w:t>
      </w:r>
      <w:r w:rsidR="00FE092A">
        <w:rPr>
          <w:szCs w:val="24"/>
        </w:rPr>
        <w:t xml:space="preserve"> indeed too trivial to have been </w:t>
      </w:r>
      <w:r w:rsidR="00F314AB">
        <w:rPr>
          <w:szCs w:val="24"/>
        </w:rPr>
        <w:t xml:space="preserve">included in the </w:t>
      </w:r>
      <w:r w:rsidR="00B33816">
        <w:rPr>
          <w:szCs w:val="24"/>
        </w:rPr>
        <w:t>agreed</w:t>
      </w:r>
      <w:r w:rsidR="00FE092A">
        <w:rPr>
          <w:szCs w:val="24"/>
        </w:rPr>
        <w:t xml:space="preserve"> summary</w:t>
      </w:r>
      <w:r w:rsidR="00281CC2">
        <w:rPr>
          <w:szCs w:val="24"/>
        </w:rPr>
        <w:t xml:space="preserve"> at all.</w:t>
      </w:r>
      <w:r w:rsidR="00087FF8">
        <w:rPr>
          <w:szCs w:val="24"/>
        </w:rPr>
        <w:t xml:space="preserve">  </w:t>
      </w:r>
      <w:r w:rsidR="00CE70DF">
        <w:rPr>
          <w:szCs w:val="24"/>
        </w:rPr>
        <w:t>The</w:t>
      </w:r>
      <w:r w:rsidR="004F58A0">
        <w:rPr>
          <w:szCs w:val="24"/>
        </w:rPr>
        <w:t xml:space="preserve"> GDC was </w:t>
      </w:r>
      <w:r w:rsidR="00CE70DF">
        <w:rPr>
          <w:szCs w:val="24"/>
        </w:rPr>
        <w:t xml:space="preserve">obliged to give only such reasons as showed why the </w:t>
      </w:r>
      <w:r w:rsidR="00F20E3A">
        <w:rPr>
          <w:szCs w:val="24"/>
        </w:rPr>
        <w:t xml:space="preserve">substance of the criticisms raised by </w:t>
      </w:r>
      <w:r w:rsidR="00E0467C">
        <w:rPr>
          <w:szCs w:val="24"/>
        </w:rPr>
        <w:t>the IRP had not caused it to alter its decision.</w:t>
      </w:r>
      <w:r w:rsidR="00D12ACC">
        <w:rPr>
          <w:szCs w:val="24"/>
        </w:rPr>
        <w:t xml:space="preserve"> </w:t>
      </w:r>
      <w:r w:rsidR="00FE092A">
        <w:rPr>
          <w:szCs w:val="24"/>
        </w:rPr>
        <w:t xml:space="preserve"> </w:t>
      </w:r>
      <w:r w:rsidR="00E00959">
        <w:rPr>
          <w:szCs w:val="24"/>
        </w:rPr>
        <w:t xml:space="preserve"> </w:t>
      </w:r>
      <w:r w:rsidR="00281100">
        <w:rPr>
          <w:szCs w:val="24"/>
        </w:rPr>
        <w:t xml:space="preserve">  </w:t>
      </w:r>
    </w:p>
    <w:p w14:paraId="31444F01" w14:textId="00B307DC" w:rsidR="00FE1A78" w:rsidRDefault="00281100" w:rsidP="00972118">
      <w:pPr>
        <w:pStyle w:val="ParaLevel1"/>
        <w:rPr>
          <w:szCs w:val="24"/>
        </w:rPr>
      </w:pPr>
      <w:r>
        <w:rPr>
          <w:szCs w:val="24"/>
        </w:rPr>
        <w:t xml:space="preserve">Neither of the authorities </w:t>
      </w:r>
      <w:r w:rsidR="00CD57E6">
        <w:rPr>
          <w:szCs w:val="24"/>
        </w:rPr>
        <w:t xml:space="preserve">referred to by Ms Harrison is of assistance.  Looking at the reasons given in </w:t>
      </w:r>
      <w:r w:rsidR="00CD57E6" w:rsidRPr="00CD57E6">
        <w:rPr>
          <w:i/>
          <w:iCs/>
          <w:szCs w:val="24"/>
        </w:rPr>
        <w:t>XYZ</w:t>
      </w:r>
      <w:r w:rsidR="00CD57E6">
        <w:rPr>
          <w:szCs w:val="24"/>
        </w:rPr>
        <w:t xml:space="preserve"> cannot assist on whether the reasons given in this case were adequate.  A</w:t>
      </w:r>
      <w:r w:rsidR="00BF1EB2">
        <w:rPr>
          <w:szCs w:val="24"/>
        </w:rPr>
        <w:t xml:space="preserve">s for </w:t>
      </w:r>
      <w:r w:rsidR="00BF1EB2" w:rsidRPr="00BF1EB2">
        <w:rPr>
          <w:i/>
          <w:iCs/>
          <w:szCs w:val="24"/>
        </w:rPr>
        <w:t>AT</w:t>
      </w:r>
      <w:r w:rsidR="00BF1EB2">
        <w:rPr>
          <w:szCs w:val="24"/>
        </w:rPr>
        <w:t xml:space="preserve">, </w:t>
      </w:r>
      <w:r w:rsidR="00176D17">
        <w:rPr>
          <w:szCs w:val="24"/>
        </w:rPr>
        <w:t xml:space="preserve">the relationship between </w:t>
      </w:r>
      <w:r w:rsidR="00F17B67">
        <w:rPr>
          <w:szCs w:val="24"/>
        </w:rPr>
        <w:t xml:space="preserve">school governors and the IRP </w:t>
      </w:r>
      <w:r w:rsidR="006D4435">
        <w:rPr>
          <w:szCs w:val="24"/>
        </w:rPr>
        <w:t>is not</w:t>
      </w:r>
      <w:r w:rsidR="00F17B67">
        <w:rPr>
          <w:szCs w:val="24"/>
        </w:rPr>
        <w:t xml:space="preserve"> analogous to the relationship between a local authority and the </w:t>
      </w:r>
      <w:r w:rsidR="007B1C64">
        <w:rPr>
          <w:szCs w:val="24"/>
        </w:rPr>
        <w:t>First-tier Tribunal</w:t>
      </w:r>
      <w:r w:rsidR="006D4435">
        <w:rPr>
          <w:szCs w:val="24"/>
        </w:rPr>
        <w:t xml:space="preserve">.  </w:t>
      </w:r>
      <w:r w:rsidR="00CD57E6">
        <w:rPr>
          <w:szCs w:val="24"/>
        </w:rPr>
        <w:t xml:space="preserve"> </w:t>
      </w:r>
    </w:p>
    <w:p w14:paraId="71E91204" w14:textId="7898F52E" w:rsidR="00DD4E7D" w:rsidRDefault="009A1E7F" w:rsidP="00972118">
      <w:pPr>
        <w:pStyle w:val="ParaLevel1"/>
        <w:rPr>
          <w:szCs w:val="24"/>
        </w:rPr>
      </w:pPr>
      <w:r>
        <w:rPr>
          <w:szCs w:val="24"/>
        </w:rPr>
        <w:t xml:space="preserve">The question </w:t>
      </w:r>
      <w:r w:rsidR="00BA09F5">
        <w:rPr>
          <w:szCs w:val="24"/>
        </w:rPr>
        <w:t xml:space="preserve">as regards </w:t>
      </w:r>
      <w:r w:rsidR="00BA09F5" w:rsidRPr="00207D02">
        <w:rPr>
          <w:szCs w:val="24"/>
        </w:rPr>
        <w:t>concerns (i)-(iv)</w:t>
      </w:r>
      <w:r w:rsidR="00BA09F5">
        <w:rPr>
          <w:szCs w:val="24"/>
        </w:rPr>
        <w:t xml:space="preserve"> </w:t>
      </w:r>
      <w:r>
        <w:rPr>
          <w:szCs w:val="24"/>
        </w:rPr>
        <w:t xml:space="preserve">is </w:t>
      </w:r>
      <w:r w:rsidR="00BA09F5">
        <w:rPr>
          <w:szCs w:val="24"/>
        </w:rPr>
        <w:t xml:space="preserve">thus </w:t>
      </w:r>
      <w:r>
        <w:rPr>
          <w:szCs w:val="24"/>
        </w:rPr>
        <w:t xml:space="preserve">whether all or any of </w:t>
      </w:r>
      <w:r w:rsidR="00BA09F5">
        <w:rPr>
          <w:szCs w:val="24"/>
        </w:rPr>
        <w:t>them</w:t>
      </w:r>
      <w:r w:rsidR="004E5276" w:rsidRPr="00207D02">
        <w:rPr>
          <w:szCs w:val="24"/>
        </w:rPr>
        <w:t xml:space="preserve"> </w:t>
      </w:r>
      <w:r w:rsidR="00935773">
        <w:rPr>
          <w:szCs w:val="24"/>
        </w:rPr>
        <w:t>were</w:t>
      </w:r>
      <w:r w:rsidR="00263837">
        <w:rPr>
          <w:szCs w:val="24"/>
        </w:rPr>
        <w:t xml:space="preserve"> </w:t>
      </w:r>
      <w:r w:rsidR="00935773">
        <w:rPr>
          <w:szCs w:val="24"/>
        </w:rPr>
        <w:t>i</w:t>
      </w:r>
      <w:r w:rsidR="00914C2B" w:rsidRPr="00207D02">
        <w:rPr>
          <w:szCs w:val="24"/>
        </w:rPr>
        <w:t>n fact</w:t>
      </w:r>
      <w:r w:rsidR="005D4E33">
        <w:rPr>
          <w:szCs w:val="24"/>
        </w:rPr>
        <w:t xml:space="preserve"> </w:t>
      </w:r>
      <w:r w:rsidR="003F4D70" w:rsidRPr="00207D02">
        <w:rPr>
          <w:szCs w:val="24"/>
        </w:rPr>
        <w:t>of real significance</w:t>
      </w:r>
      <w:r w:rsidR="0058566C">
        <w:rPr>
          <w:szCs w:val="24"/>
        </w:rPr>
        <w:t xml:space="preserve">.  Ms Harrison </w:t>
      </w:r>
      <w:r w:rsidR="009C0D59">
        <w:rPr>
          <w:szCs w:val="24"/>
        </w:rPr>
        <w:t>contend</w:t>
      </w:r>
      <w:r w:rsidR="0058566C">
        <w:rPr>
          <w:szCs w:val="24"/>
        </w:rPr>
        <w:t>ed that they all were</w:t>
      </w:r>
      <w:r w:rsidR="005D4E33">
        <w:rPr>
          <w:szCs w:val="24"/>
        </w:rPr>
        <w:t xml:space="preserve"> and </w:t>
      </w:r>
      <w:r w:rsidR="0058566C">
        <w:rPr>
          <w:szCs w:val="24"/>
        </w:rPr>
        <w:t xml:space="preserve">that </w:t>
      </w:r>
      <w:r w:rsidR="005D4E33">
        <w:rPr>
          <w:szCs w:val="24"/>
        </w:rPr>
        <w:t>the Judge was accordingly wrong to say that they did not need to be individually addressed</w:t>
      </w:r>
      <w:r w:rsidR="00914C2B" w:rsidRPr="00207D02">
        <w:rPr>
          <w:szCs w:val="24"/>
        </w:rPr>
        <w:t>.</w:t>
      </w:r>
      <w:r w:rsidR="005D4E33">
        <w:rPr>
          <w:szCs w:val="24"/>
        </w:rPr>
        <w:t xml:space="preserve">  </w:t>
      </w:r>
      <w:r w:rsidR="00411CCA" w:rsidRPr="00207D02">
        <w:rPr>
          <w:szCs w:val="24"/>
        </w:rPr>
        <w:t xml:space="preserve">She did not </w:t>
      </w:r>
      <w:r w:rsidR="00C80752">
        <w:rPr>
          <w:szCs w:val="24"/>
        </w:rPr>
        <w:t xml:space="preserve">particularise that </w:t>
      </w:r>
      <w:r w:rsidR="00847A9A">
        <w:rPr>
          <w:szCs w:val="24"/>
        </w:rPr>
        <w:t xml:space="preserve">contention in her oral </w:t>
      </w:r>
      <w:r w:rsidR="00C80752">
        <w:rPr>
          <w:szCs w:val="24"/>
        </w:rPr>
        <w:t>submission</w:t>
      </w:r>
      <w:r w:rsidR="00847A9A">
        <w:rPr>
          <w:szCs w:val="24"/>
        </w:rPr>
        <w:t>s</w:t>
      </w:r>
      <w:r w:rsidR="00406656" w:rsidRPr="00207D02">
        <w:rPr>
          <w:szCs w:val="24"/>
        </w:rPr>
        <w:t xml:space="preserve"> but referred us to </w:t>
      </w:r>
      <w:r w:rsidR="00EE0855" w:rsidRPr="00207D02">
        <w:rPr>
          <w:szCs w:val="24"/>
        </w:rPr>
        <w:t xml:space="preserve">paras. </w:t>
      </w:r>
      <w:r w:rsidR="000E4C0D" w:rsidRPr="00207D02">
        <w:rPr>
          <w:szCs w:val="24"/>
        </w:rPr>
        <w:t>73-</w:t>
      </w:r>
      <w:r w:rsidR="00424A61" w:rsidRPr="00207D02">
        <w:rPr>
          <w:szCs w:val="24"/>
        </w:rPr>
        <w:t xml:space="preserve">95 of her </w:t>
      </w:r>
      <w:r w:rsidR="00406656" w:rsidRPr="00207D02">
        <w:rPr>
          <w:szCs w:val="24"/>
        </w:rPr>
        <w:t>skeleton argument</w:t>
      </w:r>
      <w:r w:rsidR="00595A9A">
        <w:rPr>
          <w:szCs w:val="24"/>
        </w:rPr>
        <w:t>.</w:t>
      </w:r>
      <w:r w:rsidR="00262671">
        <w:rPr>
          <w:szCs w:val="24"/>
        </w:rPr>
        <w:t xml:space="preserve">  </w:t>
      </w:r>
      <w:r w:rsidR="00AE27FC">
        <w:rPr>
          <w:szCs w:val="24"/>
        </w:rPr>
        <w:t>The position about con</w:t>
      </w:r>
      <w:r w:rsidR="00752371">
        <w:rPr>
          <w:szCs w:val="24"/>
        </w:rPr>
        <w:t>cer</w:t>
      </w:r>
      <w:r w:rsidR="00AE27FC">
        <w:rPr>
          <w:szCs w:val="24"/>
        </w:rPr>
        <w:t>n (v) is</w:t>
      </w:r>
      <w:r w:rsidR="00BA09F5">
        <w:rPr>
          <w:szCs w:val="24"/>
        </w:rPr>
        <w:t xml:space="preserve"> whether the way in which the GDC addressed it was adequate.  </w:t>
      </w:r>
      <w:r w:rsidR="00AD1029">
        <w:rPr>
          <w:szCs w:val="24"/>
        </w:rPr>
        <w:t>I t</w:t>
      </w:r>
      <w:r w:rsidR="00262671">
        <w:rPr>
          <w:szCs w:val="24"/>
        </w:rPr>
        <w:t>ak</w:t>
      </w:r>
      <w:r w:rsidR="00AD1029">
        <w:rPr>
          <w:szCs w:val="24"/>
        </w:rPr>
        <w:t>e</w:t>
      </w:r>
      <w:r w:rsidR="00262671">
        <w:rPr>
          <w:szCs w:val="24"/>
        </w:rPr>
        <w:t xml:space="preserve"> the concerns</w:t>
      </w:r>
      <w:r w:rsidR="00AD1029">
        <w:rPr>
          <w:szCs w:val="24"/>
        </w:rPr>
        <w:t xml:space="preserve"> in turn.</w:t>
      </w:r>
    </w:p>
    <w:p w14:paraId="4B40172B" w14:textId="77777777" w:rsidR="000139B0" w:rsidRPr="00752371" w:rsidRDefault="000139B0" w:rsidP="00972118">
      <w:pPr>
        <w:pStyle w:val="ParaLevel1"/>
        <w:numPr>
          <w:ilvl w:val="0"/>
          <w:numId w:val="0"/>
        </w:numPr>
        <w:rPr>
          <w:u w:val="single"/>
        </w:rPr>
      </w:pPr>
      <w:r w:rsidRPr="00752371">
        <w:rPr>
          <w:u w:val="single"/>
        </w:rPr>
        <w:t>Concern (i)</w:t>
      </w:r>
    </w:p>
    <w:p w14:paraId="07A11C06" w14:textId="5ED96337" w:rsidR="005045BC" w:rsidRPr="000139B0" w:rsidRDefault="00A2600A" w:rsidP="00972118">
      <w:pPr>
        <w:pStyle w:val="ParaLevel1"/>
        <w:rPr>
          <w:szCs w:val="24"/>
        </w:rPr>
      </w:pPr>
      <w:r w:rsidRPr="000139B0">
        <w:rPr>
          <w:szCs w:val="24"/>
        </w:rPr>
        <w:t xml:space="preserve">I should set out para. 8.1 of the </w:t>
      </w:r>
      <w:r w:rsidR="00BA09F5">
        <w:rPr>
          <w:szCs w:val="24"/>
        </w:rPr>
        <w:t xml:space="preserve">IRP’s </w:t>
      </w:r>
      <w:r w:rsidRPr="000139B0">
        <w:rPr>
          <w:szCs w:val="24"/>
        </w:rPr>
        <w:t>Decision in full.  It reads:</w:t>
      </w:r>
    </w:p>
    <w:p w14:paraId="4517854D" w14:textId="50855CDE" w:rsidR="005045BC" w:rsidRPr="00A2600A" w:rsidRDefault="00A2600A" w:rsidP="00972118">
      <w:pPr>
        <w:pStyle w:val="ParaLevel1"/>
        <w:numPr>
          <w:ilvl w:val="0"/>
          <w:numId w:val="0"/>
        </w:numPr>
        <w:ind w:left="1418" w:right="793"/>
        <w:rPr>
          <w:szCs w:val="24"/>
        </w:rPr>
      </w:pPr>
      <w:r>
        <w:rPr>
          <w:szCs w:val="24"/>
        </w:rPr>
        <w:t>“</w:t>
      </w:r>
      <w:r w:rsidR="00E6484F">
        <w:t xml:space="preserve">It is not clear in </w:t>
      </w:r>
      <w:r w:rsidR="00BE7C37">
        <w:t>[the exclusion letter]</w:t>
      </w:r>
      <w:r w:rsidR="00E6484F">
        <w:t xml:space="preserve"> if the decision to exclude </w:t>
      </w:r>
      <w:r w:rsidR="00A34982">
        <w:t>[TZB]</w:t>
      </w:r>
      <w:r w:rsidR="00E6484F">
        <w:t xml:space="preserve"> was in response to a serious breach or persistent breaches (</w:t>
      </w:r>
      <w:r w:rsidR="00EF1A3E">
        <w:t>[Guidance]</w:t>
      </w:r>
      <w:r w:rsidR="00E6484F">
        <w:t xml:space="preserve"> para 16). Paragraph 4 of </w:t>
      </w:r>
      <w:r w:rsidR="00A34982">
        <w:t xml:space="preserve">[the exclusion letter] </w:t>
      </w:r>
      <w:r w:rsidR="00E6484F">
        <w:t xml:space="preserve">starts that a serious breach has occurred yet refers to two incidents. Almost by way of bolstering the case paragraph five asks that repeated acts of physical assault be considered. The </w:t>
      </w:r>
      <w:r w:rsidR="00EF1A3E">
        <w:t>[Guidance]</w:t>
      </w:r>
      <w:r w:rsidR="00E6484F">
        <w:t xml:space="preserve"> is clear: it is either a serious breach or persistent breaches, not both and that should be made very clear to the family as to the reason for permanent exclusion.</w:t>
      </w:r>
      <w:r w:rsidR="009A5DFF">
        <w:t>”</w:t>
      </w:r>
    </w:p>
    <w:p w14:paraId="3FBD5390" w14:textId="748F6244" w:rsidR="004674E9" w:rsidRDefault="004674E9" w:rsidP="00972118">
      <w:pPr>
        <w:pStyle w:val="ParaLevel1"/>
      </w:pPr>
      <w:r w:rsidRPr="00DD4E7D">
        <w:t>Like the Judge</w:t>
      </w:r>
      <w:r>
        <w:t xml:space="preserve">, </w:t>
      </w:r>
      <w:r w:rsidRPr="00DD4E7D">
        <w:t xml:space="preserve">I find that </w:t>
      </w:r>
      <w:r w:rsidR="0098726D">
        <w:t xml:space="preserve">criticism </w:t>
      </w:r>
      <w:r w:rsidRPr="00DD4E7D">
        <w:t>puzzling</w:t>
      </w:r>
      <w:r w:rsidR="0098726D">
        <w:t xml:space="preserve">, but </w:t>
      </w:r>
      <w:r w:rsidR="007814C4">
        <w:t>for more reasons than the one he identifies</w:t>
      </w:r>
      <w:r w:rsidRPr="00DD4E7D">
        <w:t xml:space="preserve">.  </w:t>
      </w:r>
    </w:p>
    <w:p w14:paraId="74EF813D" w14:textId="30ECC66B" w:rsidR="00594CC1" w:rsidRDefault="009E6525" w:rsidP="00972118">
      <w:pPr>
        <w:pStyle w:val="ParaLevel1"/>
        <w:rPr>
          <w:szCs w:val="24"/>
        </w:rPr>
      </w:pPr>
      <w:r w:rsidRPr="001C411D">
        <w:rPr>
          <w:szCs w:val="24"/>
        </w:rPr>
        <w:t>In the first place, t</w:t>
      </w:r>
      <w:r w:rsidR="00DD4E7D" w:rsidRPr="001C411D">
        <w:rPr>
          <w:szCs w:val="24"/>
        </w:rPr>
        <w:t xml:space="preserve">he Headteacher’s position on the </w:t>
      </w:r>
      <w:r w:rsidRPr="001C411D">
        <w:rPr>
          <w:szCs w:val="24"/>
        </w:rPr>
        <w:t>reason for the exclusion</w:t>
      </w:r>
      <w:r w:rsidR="00DD4E7D" w:rsidRPr="001C411D">
        <w:rPr>
          <w:szCs w:val="24"/>
        </w:rPr>
        <w:t xml:space="preserve"> is clear from the first five paragraphs of the exclusion letter (</w:t>
      </w:r>
      <w:r w:rsidR="00E76FE1">
        <w:rPr>
          <w:szCs w:val="24"/>
        </w:rPr>
        <w:t>see</w:t>
      </w:r>
      <w:r w:rsidR="00DD4E7D" w:rsidRPr="001C411D">
        <w:rPr>
          <w:szCs w:val="24"/>
        </w:rPr>
        <w:t xml:space="preserve"> para. </w:t>
      </w:r>
      <w:r w:rsidR="009B0CB2">
        <w:rPr>
          <w:szCs w:val="24"/>
        </w:rPr>
        <w:t>26</w:t>
      </w:r>
      <w:r w:rsidR="00DD4E7D" w:rsidRPr="001C411D">
        <w:rPr>
          <w:szCs w:val="24"/>
        </w:rPr>
        <w:t xml:space="preserve"> above).  The second paragraph says that she relies on the two incidents on 6 May as a breach the “seriousness” of which satisfies the first </w:t>
      </w:r>
      <w:r w:rsidR="00830813" w:rsidRPr="001C411D">
        <w:rPr>
          <w:szCs w:val="24"/>
        </w:rPr>
        <w:t>part of the two-fold test: in other words, she is relying on “serious breach” under para. 16 of the Guidance</w:t>
      </w:r>
      <w:r w:rsidR="00DD4E7D" w:rsidRPr="001C411D">
        <w:rPr>
          <w:szCs w:val="24"/>
        </w:rPr>
        <w:t xml:space="preserve">.  (The IRP seems to treat it as inconsistent that two incidents are regarded as constituting “a serious breach”: </w:t>
      </w:r>
      <w:r w:rsidR="00BE4CED" w:rsidRPr="001C411D">
        <w:rPr>
          <w:szCs w:val="24"/>
        </w:rPr>
        <w:t>if</w:t>
      </w:r>
      <w:r w:rsidR="00DD4E7D" w:rsidRPr="001C411D">
        <w:rPr>
          <w:szCs w:val="24"/>
        </w:rPr>
        <w:t xml:space="preserve"> its point is that the letter should have said “two serious breaches”</w:t>
      </w:r>
      <w:r w:rsidR="00BE4CED" w:rsidRPr="001C411D">
        <w:rPr>
          <w:szCs w:val="24"/>
        </w:rPr>
        <w:t xml:space="preserve"> </w:t>
      </w:r>
      <w:r w:rsidR="00DD4E7D" w:rsidRPr="001C411D">
        <w:rPr>
          <w:szCs w:val="24"/>
        </w:rPr>
        <w:t xml:space="preserve">that is, with respect, pedantic in the extreme.)  </w:t>
      </w:r>
      <w:r w:rsidR="00D1543B" w:rsidRPr="001C411D">
        <w:rPr>
          <w:szCs w:val="24"/>
        </w:rPr>
        <w:t xml:space="preserve">She </w:t>
      </w:r>
      <w:r w:rsidR="00961322">
        <w:rPr>
          <w:szCs w:val="24"/>
        </w:rPr>
        <w:t>says</w:t>
      </w:r>
      <w:r w:rsidR="00D1543B" w:rsidRPr="001C411D">
        <w:rPr>
          <w:szCs w:val="24"/>
        </w:rPr>
        <w:t xml:space="preserve"> in the fourth paragraph </w:t>
      </w:r>
      <w:r w:rsidR="00505F65" w:rsidRPr="001C411D">
        <w:rPr>
          <w:szCs w:val="24"/>
        </w:rPr>
        <w:t xml:space="preserve">that on the basis of that conduct </w:t>
      </w:r>
      <w:r w:rsidR="0063326F" w:rsidRPr="001C411D">
        <w:rPr>
          <w:szCs w:val="24"/>
        </w:rPr>
        <w:t>alone</w:t>
      </w:r>
      <w:r w:rsidR="00505F65" w:rsidRPr="001C411D">
        <w:rPr>
          <w:szCs w:val="24"/>
        </w:rPr>
        <w:t xml:space="preserve"> she </w:t>
      </w:r>
      <w:r w:rsidR="008D351D" w:rsidRPr="001C411D">
        <w:rPr>
          <w:szCs w:val="24"/>
        </w:rPr>
        <w:t xml:space="preserve">judges that the second part of the test is justified because </w:t>
      </w:r>
      <w:r w:rsidR="001C411D" w:rsidRPr="001C411D">
        <w:rPr>
          <w:szCs w:val="24"/>
        </w:rPr>
        <w:t>TZB’s</w:t>
      </w:r>
      <w:r w:rsidR="008D351D" w:rsidRPr="001C411D">
        <w:rPr>
          <w:szCs w:val="24"/>
        </w:rPr>
        <w:t xml:space="preserve"> continued presence </w:t>
      </w:r>
      <w:r w:rsidR="0063326F" w:rsidRPr="001C411D">
        <w:rPr>
          <w:szCs w:val="24"/>
        </w:rPr>
        <w:t>would present an unacceptable risk to</w:t>
      </w:r>
      <w:r w:rsidR="001C411D" w:rsidRPr="001C411D">
        <w:rPr>
          <w:szCs w:val="24"/>
        </w:rPr>
        <w:t xml:space="preserve"> </w:t>
      </w:r>
      <w:r w:rsidR="0063326F" w:rsidRPr="001C411D">
        <w:rPr>
          <w:szCs w:val="24"/>
        </w:rPr>
        <w:t>others.</w:t>
      </w:r>
      <w:r w:rsidR="001C411D" w:rsidRPr="001C411D">
        <w:rPr>
          <w:szCs w:val="24"/>
        </w:rPr>
        <w:t xml:space="preserve">  </w:t>
      </w:r>
      <w:r w:rsidR="00961322">
        <w:rPr>
          <w:szCs w:val="24"/>
        </w:rPr>
        <w:t xml:space="preserve">It follows that it was not necessary to rely on his previous record.  </w:t>
      </w:r>
      <w:r w:rsidR="00961322" w:rsidRPr="007B252D">
        <w:rPr>
          <w:szCs w:val="24"/>
          <w:u w:val="single"/>
        </w:rPr>
        <w:t>However</w:t>
      </w:r>
      <w:r w:rsidR="007B252D">
        <w:rPr>
          <w:szCs w:val="24"/>
        </w:rPr>
        <w:t>, she explains that she intends to refer to that record for two reasons</w:t>
      </w:r>
      <w:r w:rsidR="00370682">
        <w:rPr>
          <w:szCs w:val="24"/>
        </w:rPr>
        <w:t xml:space="preserve">.  First, </w:t>
      </w:r>
      <w:r w:rsidR="00464F6C">
        <w:rPr>
          <w:szCs w:val="24"/>
        </w:rPr>
        <w:t xml:space="preserve">the fact that he has not responded </w:t>
      </w:r>
      <w:r w:rsidR="00893073">
        <w:rPr>
          <w:szCs w:val="24"/>
        </w:rPr>
        <w:t>to previous sanctions reinforces the case on risk of further harm (fourth paragraph)</w:t>
      </w:r>
      <w:r w:rsidR="00EC190F">
        <w:rPr>
          <w:szCs w:val="24"/>
        </w:rPr>
        <w:t xml:space="preserve">.  Second, </w:t>
      </w:r>
      <w:r w:rsidR="00DD4E7D" w:rsidRPr="001C411D">
        <w:rPr>
          <w:szCs w:val="24"/>
        </w:rPr>
        <w:t>if she were wrong that th</w:t>
      </w:r>
      <w:r w:rsidR="00E966F1">
        <w:rPr>
          <w:szCs w:val="24"/>
        </w:rPr>
        <w:t>e</w:t>
      </w:r>
      <w:r w:rsidR="00DD4E7D" w:rsidRPr="001C411D">
        <w:rPr>
          <w:szCs w:val="24"/>
        </w:rPr>
        <w:t xml:space="preserve"> incidents </w:t>
      </w:r>
      <w:r w:rsidR="00E966F1">
        <w:rPr>
          <w:szCs w:val="24"/>
        </w:rPr>
        <w:t xml:space="preserve">of 6 May </w:t>
      </w:r>
      <w:r w:rsidR="00DD4E7D" w:rsidRPr="001C411D">
        <w:rPr>
          <w:szCs w:val="24"/>
        </w:rPr>
        <w:t xml:space="preserve">were sufficiently serious by themselves, </w:t>
      </w:r>
      <w:r w:rsidR="00F96413">
        <w:rPr>
          <w:szCs w:val="24"/>
        </w:rPr>
        <w:t xml:space="preserve">if they are taken with the breaches in his past record </w:t>
      </w:r>
      <w:r w:rsidR="00594CC1">
        <w:rPr>
          <w:szCs w:val="24"/>
        </w:rPr>
        <w:t>there is a</w:t>
      </w:r>
      <w:r w:rsidR="00DD4E7D" w:rsidRPr="001C411D">
        <w:rPr>
          <w:szCs w:val="24"/>
        </w:rPr>
        <w:t xml:space="preserve"> </w:t>
      </w:r>
      <w:r w:rsidR="00594CC1">
        <w:rPr>
          <w:szCs w:val="24"/>
        </w:rPr>
        <w:t xml:space="preserve">“persistent” </w:t>
      </w:r>
      <w:r w:rsidR="00DD4E7D" w:rsidRPr="001C411D">
        <w:rPr>
          <w:szCs w:val="24"/>
        </w:rPr>
        <w:t xml:space="preserve">pattern of </w:t>
      </w:r>
      <w:r w:rsidR="00594CC1">
        <w:rPr>
          <w:szCs w:val="24"/>
        </w:rPr>
        <w:t xml:space="preserve">non-serious </w:t>
      </w:r>
      <w:r w:rsidR="00DD4E7D" w:rsidRPr="001C411D">
        <w:rPr>
          <w:szCs w:val="24"/>
        </w:rPr>
        <w:t>breaches which appears from his disciplinary record</w:t>
      </w:r>
      <w:r w:rsidR="00C828F7">
        <w:rPr>
          <w:szCs w:val="24"/>
        </w:rPr>
        <w:t xml:space="preserve"> (fifth paragraph)</w:t>
      </w:r>
      <w:r w:rsidR="00DD4E7D" w:rsidRPr="001C411D">
        <w:rPr>
          <w:szCs w:val="24"/>
        </w:rPr>
        <w:t>.</w:t>
      </w:r>
      <w:r w:rsidR="007D10F8">
        <w:rPr>
          <w:szCs w:val="24"/>
        </w:rPr>
        <w:t xml:space="preserve">  Both points are thus by way of </w:t>
      </w:r>
      <w:r w:rsidR="00BD63B5">
        <w:rPr>
          <w:szCs w:val="24"/>
        </w:rPr>
        <w:t xml:space="preserve">reinforcement to her primary reason which is that both parts of the two-fold test are satisfied by reference to the </w:t>
      </w:r>
      <w:r w:rsidR="00C828F7">
        <w:rPr>
          <w:szCs w:val="24"/>
        </w:rPr>
        <w:t>incidents of 6 May alone.</w:t>
      </w:r>
      <w:r w:rsidR="00BD63B5">
        <w:rPr>
          <w:szCs w:val="24"/>
        </w:rPr>
        <w:t xml:space="preserve"> </w:t>
      </w:r>
      <w:r w:rsidR="00DD4E7D" w:rsidRPr="001C411D">
        <w:rPr>
          <w:szCs w:val="24"/>
        </w:rPr>
        <w:t xml:space="preserve">  </w:t>
      </w:r>
    </w:p>
    <w:p w14:paraId="45DFD305" w14:textId="71D2CBE8" w:rsidR="002F73AA" w:rsidRPr="001C411D" w:rsidRDefault="00594CC1" w:rsidP="00972118">
      <w:pPr>
        <w:pStyle w:val="ParaLevel1"/>
        <w:rPr>
          <w:szCs w:val="24"/>
        </w:rPr>
      </w:pPr>
      <w:r>
        <w:rPr>
          <w:szCs w:val="24"/>
        </w:rPr>
        <w:t xml:space="preserve">I can see nothing </w:t>
      </w:r>
      <w:r w:rsidR="00E67DE6">
        <w:rPr>
          <w:szCs w:val="24"/>
        </w:rPr>
        <w:t>wrong with that approach.  It is very common</w:t>
      </w:r>
      <w:r w:rsidR="00E16505">
        <w:rPr>
          <w:szCs w:val="24"/>
        </w:rPr>
        <w:t xml:space="preserve"> </w:t>
      </w:r>
      <w:r w:rsidR="00E67DE6">
        <w:rPr>
          <w:szCs w:val="24"/>
        </w:rPr>
        <w:t>for a decision-maker to say “reason A is sufficient; but if necessary I rely also or alternatively on reason B</w:t>
      </w:r>
      <w:r w:rsidR="00A727B1">
        <w:rPr>
          <w:szCs w:val="24"/>
        </w:rPr>
        <w:t>”</w:t>
      </w:r>
      <w:r>
        <w:rPr>
          <w:szCs w:val="24"/>
        </w:rPr>
        <w:t>.</w:t>
      </w:r>
      <w:r w:rsidR="00593E2D">
        <w:rPr>
          <w:szCs w:val="24"/>
        </w:rPr>
        <w:t xml:space="preserve">  </w:t>
      </w:r>
      <w:r w:rsidR="00462D88" w:rsidRPr="001C411D">
        <w:rPr>
          <w:szCs w:val="24"/>
        </w:rPr>
        <w:t xml:space="preserve">The IRP </w:t>
      </w:r>
      <w:r w:rsidR="00A727B1">
        <w:rPr>
          <w:szCs w:val="24"/>
        </w:rPr>
        <w:t xml:space="preserve">appeared to regard at least </w:t>
      </w:r>
      <w:r w:rsidR="007C6426">
        <w:rPr>
          <w:szCs w:val="24"/>
        </w:rPr>
        <w:t>the second point</w:t>
      </w:r>
      <w:r w:rsidR="00145527" w:rsidRPr="001C411D">
        <w:rPr>
          <w:szCs w:val="24"/>
        </w:rPr>
        <w:t xml:space="preserve"> as wrong</w:t>
      </w:r>
      <w:r w:rsidR="001B56AD" w:rsidRPr="001C411D">
        <w:rPr>
          <w:szCs w:val="24"/>
        </w:rPr>
        <w:t xml:space="preserve"> because</w:t>
      </w:r>
      <w:r w:rsidR="007C6426">
        <w:rPr>
          <w:szCs w:val="24"/>
        </w:rPr>
        <w:t xml:space="preserve"> it believed that </w:t>
      </w:r>
      <w:r w:rsidR="00DD4E7D" w:rsidRPr="001C411D">
        <w:rPr>
          <w:szCs w:val="24"/>
        </w:rPr>
        <w:t xml:space="preserve">para. 16 of the Guidance means that a school has to rely either on serious breach or on persistent breach </w:t>
      </w:r>
      <w:r w:rsidR="00817B75" w:rsidRPr="001C411D">
        <w:rPr>
          <w:szCs w:val="24"/>
        </w:rPr>
        <w:t>but</w:t>
      </w:r>
      <w:r w:rsidR="00DD4E7D" w:rsidRPr="001C411D">
        <w:rPr>
          <w:szCs w:val="24"/>
        </w:rPr>
        <w:t xml:space="preserve"> “not both”.  </w:t>
      </w:r>
      <w:r w:rsidR="001B56AD" w:rsidRPr="001C411D">
        <w:rPr>
          <w:szCs w:val="24"/>
        </w:rPr>
        <w:t xml:space="preserve">That </w:t>
      </w:r>
      <w:r w:rsidR="00A97C6C" w:rsidRPr="001C411D">
        <w:rPr>
          <w:szCs w:val="24"/>
        </w:rPr>
        <w:t xml:space="preserve">cannot be right.  </w:t>
      </w:r>
      <w:r w:rsidR="00DD4E7D" w:rsidRPr="001C411D">
        <w:rPr>
          <w:szCs w:val="24"/>
        </w:rPr>
        <w:t xml:space="preserve">In some cases a Headteacher will believe </w:t>
      </w:r>
      <w:r w:rsidR="00E55AB7" w:rsidRPr="001C411D">
        <w:rPr>
          <w:szCs w:val="24"/>
        </w:rPr>
        <w:t>the pupil both has committed</w:t>
      </w:r>
      <w:r w:rsidR="00DD4E7D" w:rsidRPr="001C411D">
        <w:rPr>
          <w:szCs w:val="24"/>
        </w:rPr>
        <w:t xml:space="preserve"> a serious breach (or breaches) and </w:t>
      </w:r>
      <w:r w:rsidR="00E55AB7" w:rsidRPr="001C411D">
        <w:rPr>
          <w:szCs w:val="24"/>
        </w:rPr>
        <w:t xml:space="preserve">has </w:t>
      </w:r>
      <w:r w:rsidR="00DD4E7D" w:rsidRPr="001C411D">
        <w:rPr>
          <w:szCs w:val="24"/>
        </w:rPr>
        <w:t>a history of persistent (non-serious) breaches</w:t>
      </w:r>
      <w:r w:rsidR="00CF181E" w:rsidRPr="001C411D">
        <w:rPr>
          <w:szCs w:val="24"/>
        </w:rPr>
        <w:t>.  I</w:t>
      </w:r>
      <w:r w:rsidR="00DD4E7D" w:rsidRPr="001C411D">
        <w:rPr>
          <w:szCs w:val="24"/>
        </w:rPr>
        <w:t xml:space="preserve">t would be artificial and misleading if they had to plump for one </w:t>
      </w:r>
      <w:r w:rsidR="00881756">
        <w:rPr>
          <w:szCs w:val="24"/>
        </w:rPr>
        <w:t>or</w:t>
      </w:r>
      <w:r w:rsidR="00DD4E7D" w:rsidRPr="001C411D">
        <w:rPr>
          <w:szCs w:val="24"/>
        </w:rPr>
        <w:t xml:space="preserve"> the other as the justification for exclusion</w:t>
      </w:r>
      <w:r w:rsidR="00DC0FB4" w:rsidRPr="001C411D">
        <w:rPr>
          <w:szCs w:val="24"/>
        </w:rPr>
        <w:t>; a</w:t>
      </w:r>
      <w:r w:rsidR="00A97C6C" w:rsidRPr="001C411D">
        <w:rPr>
          <w:szCs w:val="24"/>
        </w:rPr>
        <w:t xml:space="preserve">nd in a case where it is possible that the </w:t>
      </w:r>
      <w:r w:rsidR="002F73AA" w:rsidRPr="001C411D">
        <w:rPr>
          <w:szCs w:val="24"/>
        </w:rPr>
        <w:t>parent</w:t>
      </w:r>
      <w:r w:rsidR="00A97C6C" w:rsidRPr="001C411D">
        <w:rPr>
          <w:szCs w:val="24"/>
        </w:rPr>
        <w:t xml:space="preserve"> may argue that the </w:t>
      </w:r>
      <w:r w:rsidR="008C27F8" w:rsidRPr="001C411D">
        <w:rPr>
          <w:szCs w:val="24"/>
        </w:rPr>
        <w:t xml:space="preserve">breach(es) relied on did not meet the required level of </w:t>
      </w:r>
      <w:r w:rsidR="002F73AA" w:rsidRPr="001C411D">
        <w:rPr>
          <w:szCs w:val="24"/>
        </w:rPr>
        <w:t>seriousness</w:t>
      </w:r>
      <w:r w:rsidR="008C27F8" w:rsidRPr="001C411D">
        <w:rPr>
          <w:szCs w:val="24"/>
        </w:rPr>
        <w:t xml:space="preserve">, it is simple </w:t>
      </w:r>
      <w:r w:rsidR="00314D00" w:rsidRPr="001C411D">
        <w:rPr>
          <w:szCs w:val="24"/>
        </w:rPr>
        <w:t>prudence</w:t>
      </w:r>
      <w:r w:rsidR="008B35AD" w:rsidRPr="001C411D">
        <w:rPr>
          <w:szCs w:val="24"/>
        </w:rPr>
        <w:t xml:space="preserve">, </w:t>
      </w:r>
      <w:r w:rsidR="00314D00" w:rsidRPr="001C411D">
        <w:rPr>
          <w:szCs w:val="24"/>
        </w:rPr>
        <w:t xml:space="preserve">not </w:t>
      </w:r>
      <w:r w:rsidR="002F73AA" w:rsidRPr="001C411D">
        <w:rPr>
          <w:szCs w:val="24"/>
        </w:rPr>
        <w:t>illegitimate</w:t>
      </w:r>
      <w:r w:rsidR="00314D00" w:rsidRPr="001C411D">
        <w:rPr>
          <w:szCs w:val="24"/>
        </w:rPr>
        <w:t xml:space="preserve"> “bolstering”</w:t>
      </w:r>
      <w:r w:rsidR="008B35AD" w:rsidRPr="001C411D">
        <w:rPr>
          <w:szCs w:val="24"/>
        </w:rPr>
        <w:t>,</w:t>
      </w:r>
      <w:r w:rsidR="00314D00" w:rsidRPr="001C411D">
        <w:rPr>
          <w:szCs w:val="24"/>
        </w:rPr>
        <w:t xml:space="preserve"> to have a fallback position based on persistent breaches (if the facts justify it)</w:t>
      </w:r>
      <w:r w:rsidR="002F73AA" w:rsidRPr="001C411D">
        <w:rPr>
          <w:szCs w:val="24"/>
        </w:rPr>
        <w:t xml:space="preserve">.  Ms Harrison submits that </w:t>
      </w:r>
      <w:r w:rsidR="00260C8E" w:rsidRPr="001C411D">
        <w:rPr>
          <w:szCs w:val="24"/>
        </w:rPr>
        <w:t xml:space="preserve">it is important that </w:t>
      </w:r>
      <w:r w:rsidR="00CF3B19" w:rsidRPr="001C411D">
        <w:rPr>
          <w:szCs w:val="24"/>
        </w:rPr>
        <w:t xml:space="preserve">the Claimant knew </w:t>
      </w:r>
      <w:r w:rsidR="00260C8E" w:rsidRPr="001C411D">
        <w:rPr>
          <w:szCs w:val="24"/>
        </w:rPr>
        <w:t xml:space="preserve">what case </w:t>
      </w:r>
      <w:r w:rsidR="00CF3B19" w:rsidRPr="001C411D">
        <w:rPr>
          <w:szCs w:val="24"/>
        </w:rPr>
        <w:t>she h</w:t>
      </w:r>
      <w:r w:rsidR="00F35133" w:rsidRPr="001C411D">
        <w:rPr>
          <w:szCs w:val="24"/>
        </w:rPr>
        <w:t>a</w:t>
      </w:r>
      <w:r w:rsidR="00CF3B19" w:rsidRPr="001C411D">
        <w:rPr>
          <w:szCs w:val="24"/>
        </w:rPr>
        <w:t>d to meet; but th</w:t>
      </w:r>
      <w:r w:rsidR="004A4122" w:rsidRPr="001C411D">
        <w:rPr>
          <w:szCs w:val="24"/>
        </w:rPr>
        <w:t xml:space="preserve">e letter does that by making </w:t>
      </w:r>
      <w:r w:rsidR="00F35133" w:rsidRPr="001C411D">
        <w:rPr>
          <w:szCs w:val="24"/>
        </w:rPr>
        <w:t>it</w:t>
      </w:r>
      <w:r w:rsidR="004A4122" w:rsidRPr="001C411D">
        <w:rPr>
          <w:szCs w:val="24"/>
        </w:rPr>
        <w:t xml:space="preserve"> clear that the School is rel</w:t>
      </w:r>
      <w:r w:rsidR="00F35133" w:rsidRPr="001C411D">
        <w:rPr>
          <w:szCs w:val="24"/>
        </w:rPr>
        <w:t xml:space="preserve">ying (if necessary) not only on the two incidents of 6 May but </w:t>
      </w:r>
      <w:r w:rsidR="00001274">
        <w:rPr>
          <w:szCs w:val="24"/>
        </w:rPr>
        <w:t xml:space="preserve">also </w:t>
      </w:r>
      <w:r w:rsidR="00F35133" w:rsidRPr="001C411D">
        <w:rPr>
          <w:szCs w:val="24"/>
        </w:rPr>
        <w:t xml:space="preserve">on TZB’s past record. </w:t>
      </w:r>
      <w:r w:rsidR="002F73AA" w:rsidRPr="001C411D">
        <w:rPr>
          <w:szCs w:val="24"/>
        </w:rPr>
        <w:t xml:space="preserve"> </w:t>
      </w:r>
    </w:p>
    <w:p w14:paraId="1C70BAE4" w14:textId="7298CC18" w:rsidR="00E02D2B" w:rsidRDefault="002F73AA" w:rsidP="00972118">
      <w:pPr>
        <w:pStyle w:val="ParaLevel1"/>
        <w:rPr>
          <w:szCs w:val="24"/>
        </w:rPr>
      </w:pPr>
      <w:r>
        <w:rPr>
          <w:szCs w:val="24"/>
        </w:rPr>
        <w:t xml:space="preserve">In fact, </w:t>
      </w:r>
      <w:r w:rsidR="00260C8E">
        <w:rPr>
          <w:szCs w:val="24"/>
        </w:rPr>
        <w:t xml:space="preserve">when </w:t>
      </w:r>
      <w:r w:rsidR="00417FD7">
        <w:rPr>
          <w:szCs w:val="24"/>
        </w:rPr>
        <w:t xml:space="preserve">the GDC </w:t>
      </w:r>
      <w:r w:rsidR="00195727">
        <w:rPr>
          <w:szCs w:val="24"/>
        </w:rPr>
        <w:t>reached its decision not to reinstate it was prepared to proceed on</w:t>
      </w:r>
      <w:r w:rsidR="001547D1">
        <w:rPr>
          <w:szCs w:val="24"/>
        </w:rPr>
        <w:t>ly on</w:t>
      </w:r>
      <w:r w:rsidR="00195727">
        <w:rPr>
          <w:szCs w:val="24"/>
        </w:rPr>
        <w:t xml:space="preserve"> the basis </w:t>
      </w:r>
      <w:r w:rsidR="00173ABF">
        <w:rPr>
          <w:szCs w:val="24"/>
        </w:rPr>
        <w:t xml:space="preserve">that the two incidents on 6 May constituted a serious breach: see the </w:t>
      </w:r>
      <w:r w:rsidR="00AE1188">
        <w:rPr>
          <w:szCs w:val="24"/>
        </w:rPr>
        <w:t>first</w:t>
      </w:r>
      <w:r w:rsidR="00173ABF">
        <w:rPr>
          <w:szCs w:val="24"/>
        </w:rPr>
        <w:t xml:space="preserve"> paragraph </w:t>
      </w:r>
      <w:r w:rsidR="00AE1188">
        <w:rPr>
          <w:szCs w:val="24"/>
        </w:rPr>
        <w:t xml:space="preserve">quoted </w:t>
      </w:r>
      <w:r w:rsidR="00173ABF">
        <w:rPr>
          <w:szCs w:val="24"/>
        </w:rPr>
        <w:t>from its letter of 8 June 2021</w:t>
      </w:r>
      <w:r w:rsidR="00AE1188">
        <w:rPr>
          <w:szCs w:val="24"/>
        </w:rPr>
        <w:t xml:space="preserve"> and para.10.5 of the minutes.  </w:t>
      </w:r>
      <w:r w:rsidR="00271C0A">
        <w:rPr>
          <w:szCs w:val="24"/>
        </w:rPr>
        <w:t xml:space="preserve">In other words, it upheld the exclusion simply by reference to the </w:t>
      </w:r>
      <w:r w:rsidR="00A80D73">
        <w:rPr>
          <w:szCs w:val="24"/>
        </w:rPr>
        <w:t>Headteacher</w:t>
      </w:r>
      <w:r w:rsidR="00A04213">
        <w:rPr>
          <w:szCs w:val="24"/>
        </w:rPr>
        <w:t>’s primary case.  I can see nothing wrong in that</w:t>
      </w:r>
      <w:r w:rsidR="00E02D2B">
        <w:rPr>
          <w:szCs w:val="24"/>
        </w:rPr>
        <w:t xml:space="preserve"> </w:t>
      </w:r>
      <w:r w:rsidR="00647134">
        <w:rPr>
          <w:szCs w:val="24"/>
        </w:rPr>
        <w:t>or</w:t>
      </w:r>
      <w:r w:rsidR="00E02D2B">
        <w:rPr>
          <w:szCs w:val="24"/>
        </w:rPr>
        <w:t xml:space="preserve">, </w:t>
      </w:r>
      <w:r w:rsidR="007730DE">
        <w:rPr>
          <w:szCs w:val="24"/>
        </w:rPr>
        <w:t>l</w:t>
      </w:r>
      <w:r w:rsidR="00E02D2B">
        <w:rPr>
          <w:szCs w:val="24"/>
        </w:rPr>
        <w:t xml:space="preserve">ike the Judge, </w:t>
      </w:r>
      <w:r w:rsidR="00647134">
        <w:rPr>
          <w:szCs w:val="24"/>
        </w:rPr>
        <w:t>any</w:t>
      </w:r>
      <w:r w:rsidR="00E02D2B">
        <w:rPr>
          <w:szCs w:val="24"/>
        </w:rPr>
        <w:t>th</w:t>
      </w:r>
      <w:r w:rsidR="00DE29EA">
        <w:rPr>
          <w:szCs w:val="24"/>
        </w:rPr>
        <w:t>i</w:t>
      </w:r>
      <w:r w:rsidR="00E02D2B">
        <w:rPr>
          <w:szCs w:val="24"/>
        </w:rPr>
        <w:t>ng that needed explaining.</w:t>
      </w:r>
      <w:r w:rsidR="002144C0">
        <w:rPr>
          <w:szCs w:val="24"/>
        </w:rPr>
        <w:t xml:space="preserve">  </w:t>
      </w:r>
      <w:r w:rsidR="005F204B">
        <w:rPr>
          <w:szCs w:val="24"/>
        </w:rPr>
        <w:t xml:space="preserve">In her skeleton argument </w:t>
      </w:r>
      <w:r w:rsidR="002144C0">
        <w:rPr>
          <w:szCs w:val="24"/>
        </w:rPr>
        <w:t xml:space="preserve">Ms Harrison submits </w:t>
      </w:r>
      <w:r w:rsidR="005F204B">
        <w:rPr>
          <w:szCs w:val="24"/>
        </w:rPr>
        <w:t xml:space="preserve">that the GDC “failed to test” </w:t>
      </w:r>
      <w:r w:rsidR="003C3736">
        <w:rPr>
          <w:szCs w:val="24"/>
        </w:rPr>
        <w:t>the Headteacher’s reasoning</w:t>
      </w:r>
      <w:r w:rsidR="005F204B">
        <w:rPr>
          <w:szCs w:val="24"/>
        </w:rPr>
        <w:t xml:space="preserve">.  </w:t>
      </w:r>
      <w:r w:rsidR="00AE27D0">
        <w:rPr>
          <w:szCs w:val="24"/>
        </w:rPr>
        <w:t xml:space="preserve">Even if, contrary to what I believe, there were some lack of clarity about the </w:t>
      </w:r>
      <w:r w:rsidR="00BA09F5">
        <w:rPr>
          <w:szCs w:val="24"/>
        </w:rPr>
        <w:t>that</w:t>
      </w:r>
      <w:r w:rsidR="00AE27D0">
        <w:rPr>
          <w:szCs w:val="24"/>
        </w:rPr>
        <w:t xml:space="preserve"> reasoning, </w:t>
      </w:r>
      <w:r w:rsidR="00BA09F5">
        <w:rPr>
          <w:szCs w:val="24"/>
        </w:rPr>
        <w:t>the</w:t>
      </w:r>
      <w:r w:rsidR="00C046CF">
        <w:rPr>
          <w:szCs w:val="24"/>
        </w:rPr>
        <w:t xml:space="preserve"> point would go nowhere for the reasons given at paras. </w:t>
      </w:r>
      <w:r w:rsidR="007E0BE0">
        <w:rPr>
          <w:szCs w:val="24"/>
        </w:rPr>
        <w:t>69-75</w:t>
      </w:r>
      <w:r w:rsidR="00C046CF">
        <w:rPr>
          <w:szCs w:val="24"/>
        </w:rPr>
        <w:t xml:space="preserve"> above.  </w:t>
      </w:r>
      <w:r w:rsidR="003C3736">
        <w:rPr>
          <w:szCs w:val="24"/>
        </w:rPr>
        <w:t xml:space="preserve"> </w:t>
      </w:r>
      <w:r w:rsidR="000907C5">
        <w:rPr>
          <w:szCs w:val="24"/>
        </w:rPr>
        <w:t xml:space="preserve">  </w:t>
      </w:r>
    </w:p>
    <w:p w14:paraId="6A2EC82A" w14:textId="248FC7C1" w:rsidR="00911E6D" w:rsidRDefault="00E34D4E" w:rsidP="00972118">
      <w:pPr>
        <w:pStyle w:val="ParaLevel1"/>
        <w:rPr>
          <w:szCs w:val="24"/>
        </w:rPr>
      </w:pPr>
      <w:r>
        <w:rPr>
          <w:szCs w:val="24"/>
        </w:rPr>
        <w:t xml:space="preserve">In her </w:t>
      </w:r>
      <w:r w:rsidR="00023F86">
        <w:rPr>
          <w:szCs w:val="24"/>
        </w:rPr>
        <w:t>skeleton</w:t>
      </w:r>
      <w:r>
        <w:rPr>
          <w:szCs w:val="24"/>
        </w:rPr>
        <w:t xml:space="preserve"> argument </w:t>
      </w:r>
      <w:r w:rsidR="0092143E">
        <w:rPr>
          <w:szCs w:val="24"/>
        </w:rPr>
        <w:t>M</w:t>
      </w:r>
      <w:r w:rsidR="00023F86">
        <w:rPr>
          <w:szCs w:val="24"/>
        </w:rPr>
        <w:t>s</w:t>
      </w:r>
      <w:r w:rsidR="0092143E">
        <w:rPr>
          <w:szCs w:val="24"/>
        </w:rPr>
        <w:t xml:space="preserve"> Harrison says that </w:t>
      </w:r>
      <w:r w:rsidR="006F7D71" w:rsidRPr="006F7D71">
        <w:rPr>
          <w:szCs w:val="24"/>
        </w:rPr>
        <w:t>past conduct is not relevant if the basis for a permanent exclusion is a one</w:t>
      </w:r>
      <w:r w:rsidR="00B01DA1">
        <w:rPr>
          <w:szCs w:val="24"/>
        </w:rPr>
        <w:t>-</w:t>
      </w:r>
      <w:r w:rsidR="006F7D71" w:rsidRPr="006F7D71">
        <w:rPr>
          <w:szCs w:val="24"/>
        </w:rPr>
        <w:t xml:space="preserve">off </w:t>
      </w:r>
      <w:r w:rsidR="00EC3896">
        <w:rPr>
          <w:szCs w:val="24"/>
        </w:rPr>
        <w:t>“</w:t>
      </w:r>
      <w:r w:rsidR="006F7D71" w:rsidRPr="006F7D71">
        <w:rPr>
          <w:szCs w:val="24"/>
        </w:rPr>
        <w:t>serious breach</w:t>
      </w:r>
      <w:r w:rsidR="00EC3896">
        <w:rPr>
          <w:szCs w:val="24"/>
        </w:rPr>
        <w:t>”</w:t>
      </w:r>
      <w:r w:rsidR="006F7D71" w:rsidRPr="006F7D71">
        <w:rPr>
          <w:szCs w:val="24"/>
        </w:rPr>
        <w:t xml:space="preserve"> of the </w:t>
      </w:r>
      <w:r w:rsidR="00023F86" w:rsidRPr="006F7D71">
        <w:rPr>
          <w:szCs w:val="24"/>
        </w:rPr>
        <w:t>school</w:t>
      </w:r>
      <w:r w:rsidR="00023F86">
        <w:rPr>
          <w:szCs w:val="24"/>
        </w:rPr>
        <w:t>’</w:t>
      </w:r>
      <w:r w:rsidR="00023F86" w:rsidRPr="006F7D71">
        <w:rPr>
          <w:szCs w:val="24"/>
        </w:rPr>
        <w:t>s</w:t>
      </w:r>
      <w:r w:rsidR="006F7D71" w:rsidRPr="006F7D71">
        <w:rPr>
          <w:szCs w:val="24"/>
        </w:rPr>
        <w:t xml:space="preserve"> behaviour policy rather than </w:t>
      </w:r>
      <w:r w:rsidR="00EC3896">
        <w:rPr>
          <w:szCs w:val="24"/>
        </w:rPr>
        <w:t>“</w:t>
      </w:r>
      <w:r w:rsidR="006F7D71" w:rsidRPr="006F7D71">
        <w:rPr>
          <w:szCs w:val="24"/>
        </w:rPr>
        <w:t>persistent breaches</w:t>
      </w:r>
      <w:r w:rsidR="00EC3896">
        <w:rPr>
          <w:szCs w:val="24"/>
        </w:rPr>
        <w:t>”</w:t>
      </w:r>
      <w:r w:rsidR="006F7D71" w:rsidRPr="006F7D71">
        <w:rPr>
          <w:szCs w:val="24"/>
        </w:rPr>
        <w:t xml:space="preserve"> over an extended</w:t>
      </w:r>
      <w:r w:rsidR="00023F86">
        <w:rPr>
          <w:szCs w:val="24"/>
        </w:rPr>
        <w:t xml:space="preserve"> period</w:t>
      </w:r>
      <w:r w:rsidR="00EC3896">
        <w:rPr>
          <w:szCs w:val="24"/>
        </w:rPr>
        <w:t xml:space="preserve">.  </w:t>
      </w:r>
      <w:r w:rsidR="00A75E58">
        <w:rPr>
          <w:szCs w:val="24"/>
        </w:rPr>
        <w:t>I regard that as over-simple</w:t>
      </w:r>
      <w:r w:rsidR="0050422D">
        <w:rPr>
          <w:szCs w:val="24"/>
        </w:rPr>
        <w:t>.  E</w:t>
      </w:r>
      <w:r w:rsidR="00A75E58">
        <w:rPr>
          <w:szCs w:val="24"/>
        </w:rPr>
        <w:t xml:space="preserve">ven in a case based on a single </w:t>
      </w:r>
      <w:r w:rsidR="00FF4545">
        <w:rPr>
          <w:szCs w:val="24"/>
        </w:rPr>
        <w:t xml:space="preserve">serious breach </w:t>
      </w:r>
      <w:r w:rsidR="009B3C56">
        <w:rPr>
          <w:szCs w:val="24"/>
        </w:rPr>
        <w:t xml:space="preserve">it may be relevant to consider the </w:t>
      </w:r>
      <w:r w:rsidR="00BA09F5">
        <w:rPr>
          <w:szCs w:val="24"/>
        </w:rPr>
        <w:t>pupil</w:t>
      </w:r>
      <w:r w:rsidR="009B3C56">
        <w:rPr>
          <w:szCs w:val="24"/>
        </w:rPr>
        <w:t xml:space="preserve">’s past record in order to assess the </w:t>
      </w:r>
      <w:r w:rsidR="0008391F">
        <w:rPr>
          <w:szCs w:val="24"/>
        </w:rPr>
        <w:t>risk of harm in the future</w:t>
      </w:r>
      <w:r w:rsidR="00EF686E">
        <w:rPr>
          <w:szCs w:val="24"/>
        </w:rPr>
        <w:t>,</w:t>
      </w:r>
      <w:r w:rsidR="0008391F">
        <w:rPr>
          <w:szCs w:val="24"/>
        </w:rPr>
        <w:t xml:space="preserve"> or in order to see </w:t>
      </w:r>
      <w:r w:rsidR="0050422D">
        <w:rPr>
          <w:szCs w:val="24"/>
        </w:rPr>
        <w:t>if</w:t>
      </w:r>
      <w:r w:rsidR="0008391F">
        <w:rPr>
          <w:szCs w:val="24"/>
        </w:rPr>
        <w:t xml:space="preserve"> ther</w:t>
      </w:r>
      <w:r w:rsidR="0050422D">
        <w:rPr>
          <w:szCs w:val="24"/>
        </w:rPr>
        <w:t>e</w:t>
      </w:r>
      <w:r w:rsidR="0008391F">
        <w:rPr>
          <w:szCs w:val="24"/>
        </w:rPr>
        <w:t xml:space="preserve"> are any extenuating circumstances or other features which would render </w:t>
      </w:r>
      <w:r w:rsidR="0050422D">
        <w:rPr>
          <w:szCs w:val="24"/>
        </w:rPr>
        <w:t>permanent</w:t>
      </w:r>
      <w:r w:rsidR="0008391F">
        <w:rPr>
          <w:szCs w:val="24"/>
        </w:rPr>
        <w:t xml:space="preserve"> </w:t>
      </w:r>
      <w:r w:rsidR="0050422D">
        <w:rPr>
          <w:szCs w:val="24"/>
        </w:rPr>
        <w:t>exclusion</w:t>
      </w:r>
      <w:r w:rsidR="0008391F">
        <w:rPr>
          <w:szCs w:val="24"/>
        </w:rPr>
        <w:t xml:space="preserve"> disproportionate</w:t>
      </w:r>
      <w:r w:rsidR="0050422D">
        <w:rPr>
          <w:szCs w:val="24"/>
        </w:rPr>
        <w:t xml:space="preserve">: as noted at para. </w:t>
      </w:r>
      <w:r w:rsidR="00722159">
        <w:rPr>
          <w:szCs w:val="24"/>
        </w:rPr>
        <w:t>23</w:t>
      </w:r>
      <w:r w:rsidR="0050422D">
        <w:rPr>
          <w:szCs w:val="24"/>
        </w:rPr>
        <w:t xml:space="preserve"> above, the two-fold test </w:t>
      </w:r>
      <w:r w:rsidR="001E06E6">
        <w:rPr>
          <w:szCs w:val="24"/>
        </w:rPr>
        <w:t>is</w:t>
      </w:r>
      <w:r w:rsidR="0050422D">
        <w:rPr>
          <w:szCs w:val="24"/>
        </w:rPr>
        <w:t xml:space="preserve"> not necessarily exhaustive.  </w:t>
      </w:r>
    </w:p>
    <w:p w14:paraId="6AC8F406" w14:textId="5DAAB098" w:rsidR="00911E6D" w:rsidRPr="00752371" w:rsidRDefault="001E062F" w:rsidP="00972118">
      <w:pPr>
        <w:pStyle w:val="ParaLevel1"/>
        <w:numPr>
          <w:ilvl w:val="0"/>
          <w:numId w:val="0"/>
        </w:numPr>
        <w:rPr>
          <w:szCs w:val="24"/>
          <w:u w:val="single"/>
        </w:rPr>
      </w:pPr>
      <w:r w:rsidRPr="00752371">
        <w:rPr>
          <w:szCs w:val="24"/>
          <w:u w:val="single"/>
        </w:rPr>
        <w:t xml:space="preserve">Concern (ii) </w:t>
      </w:r>
    </w:p>
    <w:p w14:paraId="7BE75805" w14:textId="2F947B3E" w:rsidR="007C2874" w:rsidRDefault="00514ED7" w:rsidP="00972118">
      <w:pPr>
        <w:pStyle w:val="ParaLevel1"/>
        <w:rPr>
          <w:szCs w:val="24"/>
        </w:rPr>
      </w:pPr>
      <w:r>
        <w:rPr>
          <w:szCs w:val="24"/>
        </w:rPr>
        <w:t>This concerns arises from para. 14 of the Guidance</w:t>
      </w:r>
      <w:r w:rsidR="00C95394">
        <w:rPr>
          <w:szCs w:val="24"/>
        </w:rPr>
        <w:t>, which says that “informal” or “unofficial” exclusions are unlawful</w:t>
      </w:r>
      <w:r w:rsidR="006B5F11">
        <w:rPr>
          <w:szCs w:val="24"/>
        </w:rPr>
        <w:t xml:space="preserve">.  The IRP was concerned that </w:t>
      </w:r>
      <w:r w:rsidR="007A30CA">
        <w:rPr>
          <w:szCs w:val="24"/>
        </w:rPr>
        <w:t xml:space="preserve">TZB may have been unofficially sent home in the interval between </w:t>
      </w:r>
      <w:r w:rsidR="00F42F18">
        <w:rPr>
          <w:szCs w:val="24"/>
        </w:rPr>
        <w:t>the incidents of 6 May and his exclusion a week later</w:t>
      </w:r>
      <w:r w:rsidR="005E12DC">
        <w:rPr>
          <w:szCs w:val="24"/>
        </w:rPr>
        <w:t xml:space="preserve"> and </w:t>
      </w:r>
      <w:r w:rsidR="00CF603C">
        <w:rPr>
          <w:szCs w:val="24"/>
        </w:rPr>
        <w:t>observes</w:t>
      </w:r>
      <w:r w:rsidR="005E12DC">
        <w:rPr>
          <w:szCs w:val="24"/>
        </w:rPr>
        <w:t xml:space="preserve"> that the GDC did not “test” </w:t>
      </w:r>
      <w:r w:rsidR="00CF603C">
        <w:rPr>
          <w:szCs w:val="24"/>
        </w:rPr>
        <w:t>this question.</w:t>
      </w:r>
      <w:r w:rsidR="007C2874">
        <w:rPr>
          <w:szCs w:val="24"/>
        </w:rPr>
        <w:t xml:space="preserve">  I agree with the Judge that</w:t>
      </w:r>
      <w:r w:rsidR="00F6085E">
        <w:rPr>
          <w:szCs w:val="24"/>
        </w:rPr>
        <w:t>, even if this was a justified concern, it</w:t>
      </w:r>
      <w:r w:rsidR="007C2874">
        <w:rPr>
          <w:szCs w:val="24"/>
        </w:rPr>
        <w:t xml:space="preserve"> was not a matter which could in itself have </w:t>
      </w:r>
      <w:r w:rsidR="00D536DB">
        <w:rPr>
          <w:szCs w:val="24"/>
        </w:rPr>
        <w:t>affected</w:t>
      </w:r>
      <w:r w:rsidR="007C2874">
        <w:rPr>
          <w:szCs w:val="24"/>
        </w:rPr>
        <w:t xml:space="preserve"> the decision whether to </w:t>
      </w:r>
      <w:r w:rsidR="00D536DB">
        <w:rPr>
          <w:szCs w:val="24"/>
        </w:rPr>
        <w:t>reinstate</w:t>
      </w:r>
      <w:r w:rsidR="007C2874">
        <w:rPr>
          <w:szCs w:val="24"/>
        </w:rPr>
        <w:t xml:space="preserve"> TZB</w:t>
      </w:r>
      <w:r w:rsidR="00D536DB">
        <w:rPr>
          <w:szCs w:val="24"/>
        </w:rPr>
        <w:t xml:space="preserve">.  In her skeleton argument Ms Harrison asserts </w:t>
      </w:r>
      <w:r w:rsidR="00C16504">
        <w:rPr>
          <w:szCs w:val="24"/>
        </w:rPr>
        <w:t xml:space="preserve">that “it was plainly relevant to the lawfulness of the Headteacher’s conduct vis-à-vis TZB </w:t>
      </w:r>
      <w:r w:rsidR="00BC64DD">
        <w:rPr>
          <w:szCs w:val="24"/>
        </w:rPr>
        <w:t>generally”; but that does not make it material to the exclusion decision.</w:t>
      </w:r>
      <w:r w:rsidR="00CF603C">
        <w:rPr>
          <w:szCs w:val="24"/>
        </w:rPr>
        <w:t xml:space="preserve">  </w:t>
      </w:r>
    </w:p>
    <w:p w14:paraId="34890C4A" w14:textId="558B5671" w:rsidR="007C2874" w:rsidRPr="00752371" w:rsidRDefault="00BC64DD" w:rsidP="00972118">
      <w:pPr>
        <w:pStyle w:val="ParaLevel1"/>
        <w:numPr>
          <w:ilvl w:val="0"/>
          <w:numId w:val="0"/>
        </w:numPr>
        <w:rPr>
          <w:szCs w:val="24"/>
          <w:u w:val="single"/>
        </w:rPr>
      </w:pPr>
      <w:r w:rsidRPr="00752371">
        <w:rPr>
          <w:szCs w:val="24"/>
          <w:u w:val="single"/>
        </w:rPr>
        <w:t>Concern (iii)</w:t>
      </w:r>
    </w:p>
    <w:p w14:paraId="551300D4" w14:textId="6CA8E7F6" w:rsidR="00BB68E8" w:rsidRDefault="008410BC" w:rsidP="00972118">
      <w:pPr>
        <w:pStyle w:val="ParaLevel1"/>
      </w:pPr>
      <w:r>
        <w:t xml:space="preserve">This concern, and the Judge’s explanation of why it was </w:t>
      </w:r>
      <w:r w:rsidR="0083697C">
        <w:t>misconceived</w:t>
      </w:r>
      <w:r w:rsidR="00F95677">
        <w:t>, are self-explanatory</w:t>
      </w:r>
      <w:r w:rsidR="000B0372">
        <w:t>.</w:t>
      </w:r>
      <w:r w:rsidR="00F95677">
        <w:t xml:space="preserve">  </w:t>
      </w:r>
      <w:r w:rsidR="009C07AF">
        <w:t xml:space="preserve">Ms Harrison in her skeleton </w:t>
      </w:r>
      <w:r w:rsidR="00DA7C8C">
        <w:t>argument</w:t>
      </w:r>
      <w:r w:rsidR="009C07AF">
        <w:t xml:space="preserve"> says that the Judge’s </w:t>
      </w:r>
      <w:r w:rsidR="00DA7C8C">
        <w:t>reasoning</w:t>
      </w:r>
      <w:r w:rsidR="009C07AF">
        <w:t xml:space="preserve"> was “erroneous” </w:t>
      </w:r>
      <w:r w:rsidR="00DA7C8C">
        <w:t>because what the IRP was saying was that the Claimant</w:t>
      </w:r>
      <w:r w:rsidR="007304DA">
        <w:t>, as TZB’s “family”,</w:t>
      </w:r>
      <w:r w:rsidR="00DA7C8C">
        <w:t xml:space="preserve"> as well as </w:t>
      </w:r>
      <w:r w:rsidR="00E47B87">
        <w:t>TZB h</w:t>
      </w:r>
      <w:r w:rsidR="004F089C">
        <w:t>im</w:t>
      </w:r>
      <w:r w:rsidR="00E47B87">
        <w:t xml:space="preserve">self </w:t>
      </w:r>
      <w:r w:rsidR="00B82AFB">
        <w:t xml:space="preserve">(who had been given that opportunity), </w:t>
      </w:r>
      <w:r w:rsidR="00E47B87">
        <w:t xml:space="preserve">should have been given the chance to be heard.  </w:t>
      </w:r>
      <w:r w:rsidR="008265C2">
        <w:t xml:space="preserve">But </w:t>
      </w:r>
      <w:r w:rsidR="009D5C3C">
        <w:t>th</w:t>
      </w:r>
      <w:r w:rsidR="00612580">
        <w:t xml:space="preserve">at ignores the very point that the </w:t>
      </w:r>
      <w:r w:rsidR="009D5C3C">
        <w:t>Judge</w:t>
      </w:r>
      <w:r w:rsidR="00612580">
        <w:t xml:space="preserve"> was (correctly) making</w:t>
      </w:r>
      <w:r w:rsidR="00BB68E8">
        <w:t xml:space="preserve">, namely </w:t>
      </w:r>
      <w:r w:rsidR="009D5C3C">
        <w:t>that para. 17 of the Guidance</w:t>
      </w:r>
      <w:r w:rsidR="007209D1">
        <w:t xml:space="preserve">, </w:t>
      </w:r>
      <w:r w:rsidR="001F4619">
        <w:t>on</w:t>
      </w:r>
      <w:r w:rsidR="00806D23">
        <w:t xml:space="preserve"> </w:t>
      </w:r>
      <w:r w:rsidR="00BA09F5">
        <w:t>which</w:t>
      </w:r>
      <w:r w:rsidR="001F4619">
        <w:t xml:space="preserve"> </w:t>
      </w:r>
      <w:r w:rsidR="00DA7C8C">
        <w:t>the IRP</w:t>
      </w:r>
      <w:r w:rsidR="00D23FD4">
        <w:t xml:space="preserve">’s concern </w:t>
      </w:r>
      <w:r w:rsidR="001F4619">
        <w:t xml:space="preserve">was expressly based, recommends only that the headteacher should give </w:t>
      </w:r>
      <w:r w:rsidR="001F4619">
        <w:rPr>
          <w:u w:val="single"/>
        </w:rPr>
        <w:t>the pupil</w:t>
      </w:r>
      <w:r w:rsidR="001F4619">
        <w:t xml:space="preserve"> an opportunity to present their case.</w:t>
      </w:r>
      <w:r w:rsidR="00DF1AB4">
        <w:t xml:space="preserve">  I would add that the criticism could not in any event impugn the GDC’s </w:t>
      </w:r>
      <w:r w:rsidR="00A276B8">
        <w:t>decision to</w:t>
      </w:r>
      <w:r w:rsidR="006A651F">
        <w:t xml:space="preserve"> refuse reinstatement since, in accordance with the scheme of the Regulations, the family had a full opportunity to present TZB’s case at the GDC meeting.</w:t>
      </w:r>
      <w:r w:rsidR="001F4619">
        <w:t xml:space="preserve">  </w:t>
      </w:r>
      <w:r w:rsidR="007C2874" w:rsidRPr="00C17621">
        <w:t xml:space="preserve"> </w:t>
      </w:r>
    </w:p>
    <w:p w14:paraId="6E31F8AD" w14:textId="460524CC" w:rsidR="00BB68E8" w:rsidRPr="00752371" w:rsidRDefault="00BB68E8" w:rsidP="00972118">
      <w:pPr>
        <w:pStyle w:val="ParaLevel1"/>
        <w:numPr>
          <w:ilvl w:val="0"/>
          <w:numId w:val="0"/>
        </w:numPr>
        <w:rPr>
          <w:u w:val="single"/>
        </w:rPr>
      </w:pPr>
      <w:r w:rsidRPr="00752371">
        <w:rPr>
          <w:u w:val="single"/>
        </w:rPr>
        <w:t>Concern (iv)</w:t>
      </w:r>
    </w:p>
    <w:p w14:paraId="4F139228" w14:textId="09B7CBF5" w:rsidR="006C65C1" w:rsidRDefault="00FA0405" w:rsidP="00972118">
      <w:pPr>
        <w:pStyle w:val="ParaLevel1"/>
      </w:pPr>
      <w:r>
        <w:t>Th</w:t>
      </w:r>
      <w:r w:rsidR="00A20372">
        <w:t xml:space="preserve">e </w:t>
      </w:r>
      <w:r w:rsidR="009F2C55">
        <w:t xml:space="preserve">background to this point is </w:t>
      </w:r>
      <w:r w:rsidR="00BA09F5">
        <w:t xml:space="preserve">that </w:t>
      </w:r>
      <w:r w:rsidR="00820E7D">
        <w:t>the GDC was told by the family</w:t>
      </w:r>
      <w:r w:rsidR="00967B04">
        <w:t xml:space="preserve"> </w:t>
      </w:r>
      <w:r w:rsidR="002D5BEE">
        <w:t xml:space="preserve">that </w:t>
      </w:r>
      <w:r w:rsidR="00220EDC">
        <w:t xml:space="preserve">the </w:t>
      </w:r>
      <w:r w:rsidR="009252C7">
        <w:t>police investigation</w:t>
      </w:r>
      <w:r w:rsidR="002D5BEE">
        <w:t xml:space="preserve"> in relation to</w:t>
      </w:r>
      <w:r w:rsidR="001C22E4">
        <w:t xml:space="preserve"> </w:t>
      </w:r>
      <w:r w:rsidR="002D5BEE">
        <w:t xml:space="preserve">the second </w:t>
      </w:r>
      <w:r w:rsidR="001C22E4">
        <w:t>incid</w:t>
      </w:r>
      <w:r w:rsidR="002D5BEE">
        <w:t>ent</w:t>
      </w:r>
      <w:r w:rsidR="009252C7">
        <w:t xml:space="preserve"> had been dropped</w:t>
      </w:r>
      <w:r w:rsidR="002D5BEE">
        <w:t xml:space="preserve">.  </w:t>
      </w:r>
      <w:r w:rsidR="00BE60BF">
        <w:t xml:space="preserve">It was argued </w:t>
      </w:r>
      <w:r w:rsidR="009E2A1E">
        <w:t>before the</w:t>
      </w:r>
      <w:r w:rsidR="00BE60BF">
        <w:t xml:space="preserve"> IRP that that meant that the School could not properly find that it</w:t>
      </w:r>
      <w:r w:rsidR="00A962E5">
        <w:t xml:space="preserve"> had occurred, or in any </w:t>
      </w:r>
      <w:r w:rsidR="00C46830">
        <w:t>event</w:t>
      </w:r>
      <w:r w:rsidR="00A962E5">
        <w:t xml:space="preserve"> that TZB was involved</w:t>
      </w:r>
      <w:r w:rsidR="00F55032">
        <w:t xml:space="preserve">.  The IRP rejected that argument (albeit, as it said, “just”) </w:t>
      </w:r>
      <w:r w:rsidR="009E2A1E">
        <w:t xml:space="preserve">and thus accepted that the GDC had </w:t>
      </w:r>
      <w:r w:rsidR="008E58E2">
        <w:t>b</w:t>
      </w:r>
      <w:r w:rsidR="009E2A1E">
        <w:t xml:space="preserve">een entitled to </w:t>
      </w:r>
      <w:r w:rsidR="008E58E2">
        <w:t xml:space="preserve">make the finding that it did.  </w:t>
      </w:r>
      <w:r w:rsidR="006C65C1">
        <w:t>However, it went on to say:</w:t>
      </w:r>
    </w:p>
    <w:p w14:paraId="3447E6E4" w14:textId="29266C1D" w:rsidR="006C65C1" w:rsidRDefault="006C65C1" w:rsidP="00972118">
      <w:pPr>
        <w:pStyle w:val="ParaLevel1"/>
        <w:numPr>
          <w:ilvl w:val="0"/>
          <w:numId w:val="0"/>
        </w:numPr>
        <w:ind w:left="1418" w:right="793"/>
      </w:pPr>
      <w:r>
        <w:t>“</w:t>
      </w:r>
      <w:r w:rsidR="0048436C" w:rsidRPr="0048436C">
        <w:t>that the GDC had not notice</w:t>
      </w:r>
      <w:r w:rsidR="00317B6B">
        <w:t>d</w:t>
      </w:r>
      <w:r w:rsidR="0048436C" w:rsidRPr="0048436C">
        <w:t xml:space="preserve"> the reference to the case being dropped in the families submission</w:t>
      </w:r>
      <w:r w:rsidR="001C191A">
        <w:t xml:space="preserve"> </w:t>
      </w:r>
      <w:r w:rsidR="0048436C" w:rsidRPr="0048436C">
        <w:t>... nor scrutinised it at their hearing, nor have it recorded in the minutes is unreasonable</w:t>
      </w:r>
      <w:r w:rsidR="0048436C">
        <w:t>”.</w:t>
      </w:r>
    </w:p>
    <w:p w14:paraId="34B4C473" w14:textId="188AEDB9" w:rsidR="00220EDC" w:rsidRDefault="0048436C" w:rsidP="00972118">
      <w:pPr>
        <w:pStyle w:val="ParaLevel1"/>
        <w:numPr>
          <w:ilvl w:val="0"/>
          <w:numId w:val="0"/>
        </w:numPr>
        <w:ind w:left="720"/>
      </w:pPr>
      <w:r>
        <w:t xml:space="preserve">This </w:t>
      </w:r>
      <w:r w:rsidR="00965962">
        <w:t>criticism is thus a rap over the knuckles for the GDC for a</w:t>
      </w:r>
      <w:r w:rsidR="00535011">
        <w:t xml:space="preserve"> particular failing in its reasons</w:t>
      </w:r>
      <w:r w:rsidR="00317B6B">
        <w:t xml:space="preserve">, but </w:t>
      </w:r>
      <w:r w:rsidR="00BA09F5">
        <w:t xml:space="preserve">it does not affect </w:t>
      </w:r>
      <w:r w:rsidR="00E72B7C">
        <w:t>its conclusion</w:t>
      </w:r>
      <w:r w:rsidR="00C53860">
        <w:t xml:space="preserve"> </w:t>
      </w:r>
      <w:r w:rsidR="00E81C38">
        <w:t>that the</w:t>
      </w:r>
      <w:r w:rsidR="00C53860">
        <w:t xml:space="preserve"> GDC’s actual finding </w:t>
      </w:r>
      <w:r w:rsidR="00E81C38">
        <w:t xml:space="preserve">about the second incident </w:t>
      </w:r>
      <w:r w:rsidR="00C53860">
        <w:t xml:space="preserve">was sustainable.  That being so, </w:t>
      </w:r>
      <w:r w:rsidR="00E81C38">
        <w:t xml:space="preserve">it goes nowhere.  </w:t>
      </w:r>
    </w:p>
    <w:p w14:paraId="5CA003A6" w14:textId="634A0F31" w:rsidR="00DD4E7D" w:rsidRDefault="00D01C59" w:rsidP="00972118">
      <w:pPr>
        <w:pStyle w:val="ParaLevel1"/>
      </w:pPr>
      <w:r>
        <w:t xml:space="preserve">Ms Harrison in her skeleton argument seeks to get round that difficulty by saying that the fact that the police investigation had been dropped </w:t>
      </w:r>
      <w:r w:rsidR="00536501">
        <w:t xml:space="preserve">remained relevant to “the seriousness of the incident” and thus the proportionality of </w:t>
      </w:r>
      <w:r w:rsidR="00D442D3">
        <w:t xml:space="preserve">exclusion.  </w:t>
      </w:r>
      <w:r w:rsidR="00937DEB">
        <w:t xml:space="preserve">But, as </w:t>
      </w:r>
      <w:r w:rsidR="00ED30D7">
        <w:t xml:space="preserve">explained above, that was not the context in which the IRP </w:t>
      </w:r>
      <w:r w:rsidR="00DB1E4C">
        <w:t>made its criticism</w:t>
      </w:r>
      <w:r w:rsidR="008A2569">
        <w:t xml:space="preserve">, and there was no need for the GDP to address a point that had not been made. </w:t>
      </w:r>
    </w:p>
    <w:p w14:paraId="2A8C5905" w14:textId="22A0BE2E" w:rsidR="00DD4E7D" w:rsidRPr="00BF2D73" w:rsidRDefault="00BF2D73" w:rsidP="00972118">
      <w:pPr>
        <w:pStyle w:val="ParaLevel1"/>
        <w:numPr>
          <w:ilvl w:val="0"/>
          <w:numId w:val="0"/>
        </w:numPr>
        <w:rPr>
          <w:szCs w:val="24"/>
          <w:u w:val="single"/>
        </w:rPr>
      </w:pPr>
      <w:r>
        <w:rPr>
          <w:szCs w:val="24"/>
          <w:u w:val="single"/>
        </w:rPr>
        <w:t>Concern (v)</w:t>
      </w:r>
    </w:p>
    <w:p w14:paraId="521062B2" w14:textId="06C8ED01" w:rsidR="002D2C55" w:rsidRDefault="00D04CF2" w:rsidP="00972118">
      <w:pPr>
        <w:pStyle w:val="ParaLevel1"/>
        <w:rPr>
          <w:szCs w:val="24"/>
        </w:rPr>
      </w:pPr>
      <w:r>
        <w:rPr>
          <w:szCs w:val="24"/>
        </w:rPr>
        <w:t xml:space="preserve">The full </w:t>
      </w:r>
      <w:r w:rsidR="0099167A" w:rsidRPr="0099167A">
        <w:rPr>
          <w:szCs w:val="24"/>
        </w:rPr>
        <w:t>criticism</w:t>
      </w:r>
      <w:r w:rsidR="0099167A">
        <w:rPr>
          <w:szCs w:val="24"/>
        </w:rPr>
        <w:t xml:space="preserve"> </w:t>
      </w:r>
      <w:r w:rsidR="006B17E7">
        <w:rPr>
          <w:szCs w:val="24"/>
        </w:rPr>
        <w:t xml:space="preserve">summarised as concern (v) </w:t>
      </w:r>
      <w:r>
        <w:rPr>
          <w:szCs w:val="24"/>
        </w:rPr>
        <w:t xml:space="preserve">appears in para. 8.5 of </w:t>
      </w:r>
      <w:r w:rsidR="006B17E7">
        <w:rPr>
          <w:szCs w:val="24"/>
        </w:rPr>
        <w:t>the IRP’s</w:t>
      </w:r>
      <w:r>
        <w:rPr>
          <w:szCs w:val="24"/>
        </w:rPr>
        <w:t xml:space="preserve"> decision</w:t>
      </w:r>
      <w:r w:rsidR="00F47CC9">
        <w:rPr>
          <w:szCs w:val="24"/>
        </w:rPr>
        <w:t xml:space="preserve">.  I have quoted the opening words </w:t>
      </w:r>
      <w:r w:rsidR="00CE745F">
        <w:rPr>
          <w:szCs w:val="24"/>
        </w:rPr>
        <w:t xml:space="preserve">of that paragraph </w:t>
      </w:r>
      <w:r w:rsidR="00F47CC9">
        <w:rPr>
          <w:szCs w:val="24"/>
        </w:rPr>
        <w:t xml:space="preserve">at para. </w:t>
      </w:r>
      <w:r w:rsidR="00AC5056">
        <w:rPr>
          <w:szCs w:val="24"/>
        </w:rPr>
        <w:t>46</w:t>
      </w:r>
      <w:r w:rsidR="00F47CC9">
        <w:rPr>
          <w:szCs w:val="24"/>
        </w:rPr>
        <w:t xml:space="preserve"> above, but the relevant part fo</w:t>
      </w:r>
      <w:r w:rsidR="00D063EA">
        <w:rPr>
          <w:szCs w:val="24"/>
        </w:rPr>
        <w:t>r o</w:t>
      </w:r>
      <w:r w:rsidR="00F47CC9">
        <w:rPr>
          <w:szCs w:val="24"/>
        </w:rPr>
        <w:t>ur purposes is what follows</w:t>
      </w:r>
      <w:r w:rsidR="00D64E0D">
        <w:rPr>
          <w:szCs w:val="24"/>
        </w:rPr>
        <w:t>:</w:t>
      </w:r>
    </w:p>
    <w:p w14:paraId="7A3DD60D" w14:textId="7C56D674" w:rsidR="002D2C55" w:rsidRDefault="002D2C55" w:rsidP="00972118">
      <w:pPr>
        <w:pStyle w:val="ParaLevel1"/>
        <w:numPr>
          <w:ilvl w:val="0"/>
          <w:numId w:val="0"/>
        </w:numPr>
        <w:ind w:left="1418" w:right="793"/>
        <w:rPr>
          <w:szCs w:val="24"/>
        </w:rPr>
      </w:pPr>
      <w:r>
        <w:t>“The EHAP [Early Help and Assessment Programme] for [TZB] was closed in October 2020 and there were three FTEs: 27th November 2019, 17th November 2020 and 26th March 2021. Mindful that the Clinical Psychologist’s letter is dated September 2018 … there is sparse record of any documented formal review of [TZB’s] SEND in relation to his behaviour. In particular, there is no evidence that after each FTE [Fixed-Term Exclusion] a review was undertaken as per [Guidance] para 19, nor a formal assessment of [TZB’s] Social, Emotional and Mental Health and whether more</w:t>
      </w:r>
      <w:r w:rsidRPr="006B42D1">
        <w:t xml:space="preserve"> could be done</w:t>
      </w:r>
      <w:r>
        <w:t xml:space="preserve"> </w:t>
      </w:r>
      <w:r w:rsidRPr="006B42D1">
        <w:t xml:space="preserve">... </w:t>
      </w:r>
      <w:r>
        <w:t>H</w:t>
      </w:r>
      <w:r w:rsidRPr="006B42D1">
        <w:t>ere the GDC did fail to test these relevant points and record that test and their deliberations in the minutes. This is unreasonable</w:t>
      </w:r>
      <w:r>
        <w:t>.”</w:t>
      </w:r>
    </w:p>
    <w:p w14:paraId="038E791E" w14:textId="34E4EB32" w:rsidR="00342584" w:rsidRDefault="00B55994" w:rsidP="00972118">
      <w:pPr>
        <w:pStyle w:val="ParaLevel1"/>
      </w:pPr>
      <w:r>
        <w:rPr>
          <w:szCs w:val="24"/>
        </w:rPr>
        <w:t>As we have seen</w:t>
      </w:r>
      <w:r w:rsidR="003A225D">
        <w:rPr>
          <w:szCs w:val="24"/>
        </w:rPr>
        <w:t>,</w:t>
      </w:r>
      <w:r>
        <w:rPr>
          <w:szCs w:val="24"/>
        </w:rPr>
        <w:t xml:space="preserve"> the Judge believed that this </w:t>
      </w:r>
      <w:r w:rsidR="003A225D">
        <w:rPr>
          <w:szCs w:val="24"/>
        </w:rPr>
        <w:t xml:space="preserve">criticism was sufficiently addressed in </w:t>
      </w:r>
      <w:r w:rsidR="00C44E5A">
        <w:rPr>
          <w:szCs w:val="24"/>
        </w:rPr>
        <w:t>para</w:t>
      </w:r>
      <w:r w:rsidR="008C2C88">
        <w:rPr>
          <w:szCs w:val="24"/>
        </w:rPr>
        <w:t>s</w:t>
      </w:r>
      <w:r w:rsidR="00C44E5A">
        <w:rPr>
          <w:szCs w:val="24"/>
        </w:rPr>
        <w:t xml:space="preserve">. </w:t>
      </w:r>
      <w:r w:rsidR="00304C34">
        <w:t>[5]</w:t>
      </w:r>
      <w:r w:rsidR="008C2C88">
        <w:t xml:space="preserve"> and [8] of the minutes of the reconsideration meeting</w:t>
      </w:r>
      <w:r w:rsidR="00A63BFF">
        <w:t>, which he quoted</w:t>
      </w:r>
      <w:r w:rsidR="008C2C88">
        <w:t xml:space="preserve">.  </w:t>
      </w:r>
      <w:r w:rsidR="00151145">
        <w:t xml:space="preserve">Ms Harrison </w:t>
      </w:r>
      <w:r w:rsidR="0028073F">
        <w:t xml:space="preserve">challenges that conclusion because the paragraphs in question do not address the </w:t>
      </w:r>
      <w:r w:rsidR="00041F89">
        <w:t xml:space="preserve">IRP’s specific points about the </w:t>
      </w:r>
      <w:r w:rsidR="00D724C3">
        <w:t>absence</w:t>
      </w:r>
      <w:r w:rsidR="00041F89">
        <w:t xml:space="preserve"> o</w:t>
      </w:r>
      <w:r w:rsidR="00D724C3">
        <w:t>f</w:t>
      </w:r>
      <w:r w:rsidR="00041F89">
        <w:t xml:space="preserve"> any review following </w:t>
      </w:r>
      <w:r w:rsidR="001E2B2C">
        <w:t xml:space="preserve">TZB’s </w:t>
      </w:r>
      <w:r w:rsidR="008B63E1">
        <w:t>previo</w:t>
      </w:r>
      <w:r w:rsidR="00D724C3">
        <w:t xml:space="preserve">us exclusions nor a formal </w:t>
      </w:r>
      <w:r w:rsidR="00935B03">
        <w:t xml:space="preserve">assessment of his social, emotional and mental health.  </w:t>
      </w:r>
      <w:r w:rsidR="00151145">
        <w:t xml:space="preserve"> </w:t>
      </w:r>
      <w:r w:rsidR="00304C34">
        <w:t xml:space="preserve">  </w:t>
      </w:r>
    </w:p>
    <w:p w14:paraId="71433C2F" w14:textId="67544484" w:rsidR="00A56622" w:rsidRPr="00A56622" w:rsidRDefault="00A63BFF" w:rsidP="00972118">
      <w:pPr>
        <w:pStyle w:val="ParaLevel1"/>
      </w:pPr>
      <w:r>
        <w:t xml:space="preserve">Ms Harrison is clearly right that the </w:t>
      </w:r>
      <w:r w:rsidR="00F919D5">
        <w:t xml:space="preserve">passages relied on by the Judge do not refer explicitly to </w:t>
      </w:r>
      <w:r w:rsidR="002E5C28">
        <w:t xml:space="preserve">those two points.  </w:t>
      </w:r>
      <w:r w:rsidR="00304F78">
        <w:t xml:space="preserve">Mr </w:t>
      </w:r>
      <w:r w:rsidR="00360572">
        <w:t xml:space="preserve">Cross’s </w:t>
      </w:r>
      <w:r w:rsidR="001047A1">
        <w:t xml:space="preserve">principal </w:t>
      </w:r>
      <w:r w:rsidR="00360572">
        <w:t xml:space="preserve">response </w:t>
      </w:r>
      <w:r w:rsidR="002E5C28">
        <w:t xml:space="preserve">was that they did not need to.  </w:t>
      </w:r>
      <w:r w:rsidR="009355FC">
        <w:t xml:space="preserve">What they show is that </w:t>
      </w:r>
      <w:r w:rsidR="00C514B4">
        <w:t xml:space="preserve">in </w:t>
      </w:r>
      <w:r w:rsidR="00100139">
        <w:t xml:space="preserve">its lengthy </w:t>
      </w:r>
      <w:r w:rsidR="00EE12AF">
        <w:t>discussion of the “non-PSED” aspect of its decision</w:t>
      </w:r>
      <w:r w:rsidR="00100139">
        <w:t xml:space="preserve"> </w:t>
      </w:r>
      <w:r w:rsidR="00B71B95">
        <w:t xml:space="preserve">the GDC </w:t>
      </w:r>
      <w:r w:rsidR="005F22A0">
        <w:t xml:space="preserve">went back over the whole question of the </w:t>
      </w:r>
      <w:r w:rsidR="005F22A0" w:rsidRPr="00AE69F2">
        <w:rPr>
          <w:szCs w:val="24"/>
        </w:rPr>
        <w:t xml:space="preserve">level of support provided to TZB, </w:t>
      </w:r>
      <w:r w:rsidR="00AE69F2">
        <w:rPr>
          <w:szCs w:val="24"/>
        </w:rPr>
        <w:t xml:space="preserve">which it had been fully taken through at the first meeting by reference to the pack </w:t>
      </w:r>
      <w:r w:rsidR="007A4642">
        <w:rPr>
          <w:szCs w:val="24"/>
        </w:rPr>
        <w:t xml:space="preserve">supplied to </w:t>
      </w:r>
      <w:r w:rsidR="00143B7B">
        <w:rPr>
          <w:szCs w:val="24"/>
        </w:rPr>
        <w:t xml:space="preserve">and concluded that he had </w:t>
      </w:r>
      <w:r w:rsidR="00C0251B">
        <w:rPr>
          <w:szCs w:val="24"/>
        </w:rPr>
        <w:t xml:space="preserve">received as much support as </w:t>
      </w:r>
      <w:r w:rsidR="002D3E97">
        <w:rPr>
          <w:szCs w:val="24"/>
        </w:rPr>
        <w:t xml:space="preserve">it could reasonably give. </w:t>
      </w:r>
      <w:r w:rsidR="00A56622">
        <w:rPr>
          <w:szCs w:val="24"/>
        </w:rPr>
        <w:t xml:space="preserve"> In that connection he referred us to paras. 2.7 and 2</w:t>
      </w:r>
      <w:r w:rsidR="00F13C15">
        <w:rPr>
          <w:szCs w:val="24"/>
        </w:rPr>
        <w:t>.</w:t>
      </w:r>
      <w:r w:rsidR="00A56622">
        <w:rPr>
          <w:szCs w:val="24"/>
        </w:rPr>
        <w:t>8 of the minutes of the first meeting</w:t>
      </w:r>
      <w:r w:rsidR="00F13C15">
        <w:rPr>
          <w:szCs w:val="24"/>
        </w:rPr>
        <w:t>.  These are extremely lengthy</w:t>
      </w:r>
      <w:r w:rsidR="00A56622">
        <w:rPr>
          <w:szCs w:val="24"/>
        </w:rPr>
        <w:t xml:space="preserve">, </w:t>
      </w:r>
      <w:r w:rsidR="00631266">
        <w:rPr>
          <w:szCs w:val="24"/>
        </w:rPr>
        <w:t>but I quote the parts relating specifically to the support being received by TZB</w:t>
      </w:r>
      <w:r w:rsidR="00D868B9">
        <w:rPr>
          <w:szCs w:val="24"/>
        </w:rPr>
        <w:t xml:space="preserve"> having regard to his special educational needs</w:t>
      </w:r>
      <w:r w:rsidR="00FE35AF">
        <w:rPr>
          <w:szCs w:val="24"/>
        </w:rPr>
        <w:t xml:space="preserve"> (I have inserted the letters [A]-[I] for ease of reading)</w:t>
      </w:r>
      <w:r w:rsidR="00631266">
        <w:rPr>
          <w:szCs w:val="24"/>
        </w:rPr>
        <w:t xml:space="preserve">: </w:t>
      </w:r>
    </w:p>
    <w:p w14:paraId="2B922368" w14:textId="4800D495" w:rsidR="003F05D2" w:rsidRDefault="00A56622" w:rsidP="00972118">
      <w:pPr>
        <w:pStyle w:val="ParaLevel1"/>
        <w:numPr>
          <w:ilvl w:val="0"/>
          <w:numId w:val="0"/>
        </w:numPr>
        <w:ind w:left="1418" w:right="793"/>
      </w:pPr>
      <w:r>
        <w:rPr>
          <w:szCs w:val="24"/>
        </w:rPr>
        <w:t>“</w:t>
      </w:r>
      <w:r w:rsidR="003F6E37">
        <w:rPr>
          <w:szCs w:val="24"/>
        </w:rPr>
        <w:t>[The Assistant Head]</w:t>
      </w:r>
      <w:r>
        <w:t xml:space="preserve"> outlined the extensive support given to </w:t>
      </w:r>
      <w:r w:rsidR="003F6E37">
        <w:t>[TZB]</w:t>
      </w:r>
      <w:r>
        <w:t xml:space="preserve">. </w:t>
      </w:r>
      <w:r w:rsidR="00D868B9">
        <w:t>…</w:t>
      </w:r>
      <w:r>
        <w:t xml:space="preserve"> </w:t>
      </w:r>
      <w:r w:rsidR="00395F2D">
        <w:t xml:space="preserve">[A] </w:t>
      </w:r>
      <w:r>
        <w:t xml:space="preserve">An Education Plan had been developed for </w:t>
      </w:r>
      <w:r w:rsidR="003F6E37">
        <w:t>[TZB]</w:t>
      </w:r>
      <w:r>
        <w:t xml:space="preserve"> each year.</w:t>
      </w:r>
      <w:r w:rsidR="008807D8">
        <w:t xml:space="preserve"> </w:t>
      </w:r>
      <w:r>
        <w:t xml:space="preserve"> </w:t>
      </w:r>
      <w:r w:rsidR="008807D8">
        <w:t>…</w:t>
      </w:r>
      <w:r>
        <w:t xml:space="preserve"> The Education Plan built on the curriculum that a student with learning difficulties or disabilities was following and set out the strategies being used to meet that student</w:t>
      </w:r>
      <w:r w:rsidR="008807D8">
        <w:t>’</w:t>
      </w:r>
      <w:r>
        <w:t xml:space="preserve">s specific needs and </w:t>
      </w:r>
      <w:r w:rsidR="00512D6B">
        <w:t>inform</w:t>
      </w:r>
      <w:r>
        <w:t xml:space="preserve"> the teacher and others working with the child of specific targets for him and how these will be reached. Additionally, it allowed the School and staff to plan for progression, monitor the effectiveness of teaching. monitor the provision for additional support needs within the School, collaborate with parents and other members of staff and help </w:t>
      </w:r>
      <w:r w:rsidR="003F6E37">
        <w:t>[TZB]</w:t>
      </w:r>
      <w:r>
        <w:t xml:space="preserve"> become more involved in his own </w:t>
      </w:r>
      <w:r w:rsidR="00395F2D">
        <w:t>l</w:t>
      </w:r>
      <w:r>
        <w:t xml:space="preserve">eaming and work towards specific targets. An Education Plan supported teaching and learning and set out actions for the teacher and student that are different from or additional to those that are in place for the rest of the class. It was reported that the Education Plan was no longer a legal requirement, </w:t>
      </w:r>
      <w:r w:rsidR="00642039">
        <w:t>…</w:t>
      </w:r>
      <w:r>
        <w:t xml:space="preserve"> but as a school that believes in doing what is best for the students, having an education plan in place for each of our SEN students is a part of our best practice in school. The provision was monitored against the plan through te</w:t>
      </w:r>
      <w:r w:rsidR="00642039">
        <w:t>rml</w:t>
      </w:r>
      <w:r>
        <w:t xml:space="preserve">y SEND review meetings. </w:t>
      </w:r>
      <w:r w:rsidR="00395F2D">
        <w:t xml:space="preserve">[B] </w:t>
      </w:r>
      <w:r>
        <w:t xml:space="preserve">It was further reported that a </w:t>
      </w:r>
      <w:r w:rsidR="002D4BB5">
        <w:t>Pastoral</w:t>
      </w:r>
      <w:r>
        <w:t xml:space="preserve"> Support Plan was in place which </w:t>
      </w:r>
      <w:r w:rsidR="002D4BB5">
        <w:t>was</w:t>
      </w:r>
      <w:r>
        <w:t xml:space="preserve"> shared with all teaching staff. A Pastoral Support Plan </w:t>
      </w:r>
      <w:r w:rsidR="002D4BB5">
        <w:t>was a school-</w:t>
      </w:r>
      <w:r>
        <w:t xml:space="preserve">based </w:t>
      </w:r>
      <w:r w:rsidR="002D4BB5">
        <w:t>document</w:t>
      </w:r>
      <w:r>
        <w:t xml:space="preserve"> which helps students to improve their social, emotional and behavioural skills. The PSP identified precise and specific targets for </w:t>
      </w:r>
      <w:r w:rsidR="003F6E37">
        <w:t>[TZB]</w:t>
      </w:r>
      <w:r>
        <w:t xml:space="preserve"> to work towards. </w:t>
      </w:r>
      <w:r w:rsidR="00395F2D">
        <w:t xml:space="preserve">[C] </w:t>
      </w:r>
      <w:r w:rsidR="00404404">
        <w:t>…</w:t>
      </w:r>
      <w:r>
        <w:t xml:space="preserve"> </w:t>
      </w:r>
      <w:r w:rsidR="003F6E37">
        <w:t>[TZB]</w:t>
      </w:r>
      <w:r>
        <w:t xml:space="preserve"> attended the Behaviour for Leaming programme to improve his behaviour inside and outside the classroom, to therefore assist his learning and help build strong relationships with both peers and teachers. </w:t>
      </w:r>
      <w:r w:rsidR="003F05D2">
        <w:t xml:space="preserve">[D] </w:t>
      </w:r>
      <w:r w:rsidR="003F6E37">
        <w:t>[TZB]</w:t>
      </w:r>
      <w:r>
        <w:t xml:space="preserve"> had challenges with self-confidence and had been placed on the Friends for Life. This was an intervention based on CBT (Cognitive Behavioural Therapy) designed to support students with maintaining positive relationships. The programme used CBT to address negative thought patterns about oneself to build self-esteem and teaches students healthy coping strategies,</w:t>
      </w:r>
      <w:r w:rsidR="003F05D2">
        <w:t xml:space="preserve"> </w:t>
      </w:r>
      <w:r>
        <w:t xml:space="preserve">problem solving skills and assertiveness to better maintain positive relationships. </w:t>
      </w:r>
    </w:p>
    <w:p w14:paraId="67075FC5" w14:textId="1B736098" w:rsidR="00A56622" w:rsidRPr="00A56622" w:rsidRDefault="00A56622" w:rsidP="00972118">
      <w:pPr>
        <w:pStyle w:val="ParaLevel1"/>
        <w:numPr>
          <w:ilvl w:val="0"/>
          <w:numId w:val="0"/>
        </w:numPr>
        <w:ind w:left="1418" w:right="793"/>
      </w:pPr>
      <w:r>
        <w:t xml:space="preserve">2.8 </w:t>
      </w:r>
      <w:r w:rsidR="003F05D2">
        <w:t xml:space="preserve"> </w:t>
      </w:r>
      <w:r w:rsidR="00810AEA">
        <w:t>[</w:t>
      </w:r>
      <w:r w:rsidR="00F72701">
        <w:t>E</w:t>
      </w:r>
      <w:r w:rsidR="00810AEA">
        <w:t xml:space="preserve">] </w:t>
      </w:r>
      <w:r>
        <w:t xml:space="preserve">He had also attended the Boys with a Purpose programme. Boys were taught a bespoke scheme of work to develop their self-awareness and resilience. Lessons </w:t>
      </w:r>
      <w:r w:rsidR="003F05D2">
        <w:t>focused</w:t>
      </w:r>
      <w:r>
        <w:t xml:space="preserve"> on enabling students to better understand themselves as learners and individuals and work to build healthy and positive relationships with others. The aim of the programme was to cultivate resilience, motivation and optimism for the future and to empower to view themselves and their worlds in positive terms. </w:t>
      </w:r>
      <w:r w:rsidR="00810AEA">
        <w:t>[</w:t>
      </w:r>
      <w:r w:rsidR="00F72701">
        <w:t>F</w:t>
      </w:r>
      <w:r w:rsidR="00810AEA">
        <w:t xml:space="preserve">] </w:t>
      </w:r>
      <w:r>
        <w:t>He had access to the School's counse</w:t>
      </w:r>
      <w:r w:rsidR="00810AEA">
        <w:t>ll</w:t>
      </w:r>
      <w:r>
        <w:t xml:space="preserve">ing service and attended 12 sessions. Sessions were run by an external agency to support </w:t>
      </w:r>
      <w:r w:rsidR="003F6E37">
        <w:t>[TZB]</w:t>
      </w:r>
      <w:r>
        <w:t xml:space="preserve"> in a talking-based therapy. The counsellor was a trained, objective professional with whom </w:t>
      </w:r>
      <w:r w:rsidR="003F6E37">
        <w:t>[TZB]</w:t>
      </w:r>
      <w:r>
        <w:t xml:space="preserve"> could build a healing and trusting relationship. Students engaged in this process of talking about and working through your personal problems. </w:t>
      </w:r>
      <w:r w:rsidR="00F72701">
        <w:t xml:space="preserve">[G] </w:t>
      </w:r>
      <w:r>
        <w:t xml:space="preserve">He received 11 placements in the Inclusion Centre and received support on the Social and Emotional Aspects of learning. The placement is set up to allow bespoke specialist small group support tailored to individual needs, taught by specialist SEN and mainstream teachers with daily tracker sheets sent home to include parental support. </w:t>
      </w:r>
      <w:r w:rsidR="00F72701">
        <w:t xml:space="preserve">[H] </w:t>
      </w:r>
      <w:r>
        <w:t xml:space="preserve">He had also been assessed by the </w:t>
      </w:r>
      <w:r w:rsidR="00F72701">
        <w:t>Cl</w:t>
      </w:r>
      <w:r>
        <w:t xml:space="preserve">inical </w:t>
      </w:r>
      <w:r w:rsidR="00F72701">
        <w:t xml:space="preserve">Psychologist </w:t>
      </w:r>
      <w:r>
        <w:t xml:space="preserve">and had sessions with her. </w:t>
      </w:r>
      <w:r w:rsidR="00F72701">
        <w:t xml:space="preserve">[I] </w:t>
      </w:r>
      <w:r>
        <w:t>The School had opened an Early Help Assessment Plan (EHAP) and made eight referrals to Social Services.</w:t>
      </w:r>
      <w:r w:rsidR="00F72701">
        <w:t>”</w:t>
      </w:r>
    </w:p>
    <w:p w14:paraId="3098B421" w14:textId="01E2DC7C" w:rsidR="00B25C3C" w:rsidRDefault="0075275B" w:rsidP="00972118">
      <w:pPr>
        <w:pStyle w:val="ParaLevel1"/>
        <w:numPr>
          <w:ilvl w:val="0"/>
          <w:numId w:val="0"/>
        </w:numPr>
        <w:ind w:left="720"/>
      </w:pPr>
      <w:r>
        <w:t xml:space="preserve">Mr Cross referred to this passage not so that we could </w:t>
      </w:r>
      <w:r w:rsidR="005144F3">
        <w:t>ourselves assess</w:t>
      </w:r>
      <w:r>
        <w:t xml:space="preserve"> the adequacy </w:t>
      </w:r>
      <w:r w:rsidR="005144F3">
        <w:t xml:space="preserve">of </w:t>
      </w:r>
      <w:r w:rsidR="008D666A">
        <w:t xml:space="preserve">the </w:t>
      </w:r>
      <w:r w:rsidR="005144F3">
        <w:t>support given to TZB</w:t>
      </w:r>
      <w:r w:rsidR="008D666A">
        <w:t xml:space="preserve">, which is not the issue before us, but simply so that </w:t>
      </w:r>
      <w:r w:rsidR="00E50D27">
        <w:t xml:space="preserve">we could assess the context for the reasoning that appears in the minutes of the </w:t>
      </w:r>
      <w:r w:rsidR="006050D5">
        <w:t>subsequent</w:t>
      </w:r>
      <w:r w:rsidR="00E50D27">
        <w:t xml:space="preserve"> reconsideration meeting</w:t>
      </w:r>
      <w:r w:rsidR="00872555">
        <w:t xml:space="preserve">.  The </w:t>
      </w:r>
      <w:r w:rsidR="00FC186A">
        <w:rPr>
          <w:szCs w:val="24"/>
        </w:rPr>
        <w:t xml:space="preserve">substantive exercise required by </w:t>
      </w:r>
      <w:r w:rsidR="00826403">
        <w:rPr>
          <w:szCs w:val="24"/>
        </w:rPr>
        <w:t>what the</w:t>
      </w:r>
      <w:r w:rsidR="00FC186A">
        <w:rPr>
          <w:szCs w:val="24"/>
        </w:rPr>
        <w:t xml:space="preserve"> IRP</w:t>
      </w:r>
      <w:r w:rsidR="00872555">
        <w:rPr>
          <w:szCs w:val="24"/>
        </w:rPr>
        <w:t xml:space="preserve"> </w:t>
      </w:r>
      <w:r w:rsidR="00826403">
        <w:rPr>
          <w:szCs w:val="24"/>
        </w:rPr>
        <w:t xml:space="preserve">had said </w:t>
      </w:r>
      <w:r w:rsidR="00872555">
        <w:rPr>
          <w:szCs w:val="24"/>
        </w:rPr>
        <w:t xml:space="preserve">was </w:t>
      </w:r>
      <w:r w:rsidR="00826403">
        <w:rPr>
          <w:szCs w:val="24"/>
        </w:rPr>
        <w:t xml:space="preserve">for the GDC </w:t>
      </w:r>
      <w:r w:rsidR="00872555">
        <w:rPr>
          <w:szCs w:val="24"/>
        </w:rPr>
        <w:t>to go back over that support and decide</w:t>
      </w:r>
      <w:r w:rsidR="00F56335">
        <w:rPr>
          <w:szCs w:val="24"/>
        </w:rPr>
        <w:t xml:space="preserve"> </w:t>
      </w:r>
      <w:r w:rsidR="00826403">
        <w:rPr>
          <w:szCs w:val="24"/>
        </w:rPr>
        <w:t xml:space="preserve">(in the IRP’s own phrase) </w:t>
      </w:r>
      <w:r w:rsidR="00F56335">
        <w:rPr>
          <w:szCs w:val="24"/>
        </w:rPr>
        <w:t>“whether more could be done</w:t>
      </w:r>
      <w:r w:rsidR="00A64CAA">
        <w:rPr>
          <w:rStyle w:val="FootnoteReference"/>
          <w:szCs w:val="24"/>
        </w:rPr>
        <w:footnoteReference w:id="10"/>
      </w:r>
      <w:r w:rsidR="008B4645">
        <w:rPr>
          <w:szCs w:val="24"/>
        </w:rPr>
        <w:t>”</w:t>
      </w:r>
      <w:r w:rsidR="00FC186A">
        <w:rPr>
          <w:szCs w:val="24"/>
        </w:rPr>
        <w:t xml:space="preserve">.  Whether or not </w:t>
      </w:r>
      <w:r w:rsidR="00945EC2">
        <w:rPr>
          <w:szCs w:val="24"/>
        </w:rPr>
        <w:t xml:space="preserve">the particular steps referred to by the IRP </w:t>
      </w:r>
      <w:r w:rsidR="00872555">
        <w:rPr>
          <w:szCs w:val="24"/>
        </w:rPr>
        <w:t xml:space="preserve">had been taken </w:t>
      </w:r>
      <w:r w:rsidR="00945EC2">
        <w:rPr>
          <w:szCs w:val="24"/>
        </w:rPr>
        <w:t xml:space="preserve">was not of the </w:t>
      </w:r>
      <w:r w:rsidR="006846AD">
        <w:rPr>
          <w:szCs w:val="24"/>
        </w:rPr>
        <w:t xml:space="preserve">essence: what mattered was whether there had been </w:t>
      </w:r>
      <w:r w:rsidR="00EE11A1">
        <w:rPr>
          <w:szCs w:val="24"/>
        </w:rPr>
        <w:t xml:space="preserve">a </w:t>
      </w:r>
      <w:r w:rsidR="006846AD">
        <w:rPr>
          <w:szCs w:val="24"/>
        </w:rPr>
        <w:t xml:space="preserve">failure of support </w:t>
      </w:r>
      <w:r w:rsidR="00EE11A1">
        <w:rPr>
          <w:szCs w:val="24"/>
        </w:rPr>
        <w:t xml:space="preserve">of a kind which might have affected the </w:t>
      </w:r>
      <w:r w:rsidR="00CE1605">
        <w:rPr>
          <w:szCs w:val="24"/>
        </w:rPr>
        <w:t xml:space="preserve">decision whether to reinstate TZB.  Mr Cross </w:t>
      </w:r>
      <w:r w:rsidR="00E913DD">
        <w:rPr>
          <w:szCs w:val="24"/>
        </w:rPr>
        <w:t xml:space="preserve">pointed out that </w:t>
      </w:r>
      <w:r w:rsidR="00F101D3">
        <w:rPr>
          <w:szCs w:val="24"/>
        </w:rPr>
        <w:t xml:space="preserve">para. 19 of the </w:t>
      </w:r>
      <w:r w:rsidR="00A64CAA">
        <w:rPr>
          <w:szCs w:val="24"/>
        </w:rPr>
        <w:t>Guidance</w:t>
      </w:r>
      <w:r w:rsidR="00F101D3">
        <w:rPr>
          <w:szCs w:val="24"/>
        </w:rPr>
        <w:t xml:space="preserve"> </w:t>
      </w:r>
      <w:r w:rsidR="00A64CAA">
        <w:rPr>
          <w:szCs w:val="24"/>
        </w:rPr>
        <w:t xml:space="preserve">does not in fact </w:t>
      </w:r>
      <w:r w:rsidR="001D6702">
        <w:rPr>
          <w:szCs w:val="24"/>
        </w:rPr>
        <w:t>recommend,</w:t>
      </w:r>
      <w:r w:rsidR="00794AB7">
        <w:rPr>
          <w:szCs w:val="24"/>
        </w:rPr>
        <w:t xml:space="preserve"> </w:t>
      </w:r>
      <w:r w:rsidR="00504E79">
        <w:rPr>
          <w:szCs w:val="24"/>
        </w:rPr>
        <w:t>let</w:t>
      </w:r>
      <w:r w:rsidR="001D6702">
        <w:rPr>
          <w:szCs w:val="24"/>
        </w:rPr>
        <w:t xml:space="preserve"> alone require, a </w:t>
      </w:r>
      <w:r w:rsidR="00504E79">
        <w:rPr>
          <w:szCs w:val="24"/>
        </w:rPr>
        <w:t xml:space="preserve">formal review after </w:t>
      </w:r>
      <w:r w:rsidR="00504E79">
        <w:t xml:space="preserve">each fixed-term exclusion </w:t>
      </w:r>
      <w:r w:rsidR="00EF3D2C">
        <w:t>or a formal assessment of the pupil’s</w:t>
      </w:r>
      <w:r w:rsidR="0011756D">
        <w:t xml:space="preserve"> social, emotional and mental health </w:t>
      </w:r>
      <w:r w:rsidR="00504E79">
        <w:t>a review was undertaken</w:t>
      </w:r>
      <w:r w:rsidR="00B25C3C">
        <w:t>.</w:t>
      </w:r>
    </w:p>
    <w:p w14:paraId="79AC8085" w14:textId="08A62008" w:rsidR="005F22A0" w:rsidRDefault="005D263C" w:rsidP="00972118">
      <w:pPr>
        <w:pStyle w:val="ParaLevel1"/>
      </w:pPr>
      <w:r>
        <w:t xml:space="preserve">On balance I am persuaded by that submission.  I am bound to say that </w:t>
      </w:r>
      <w:r w:rsidR="00D41A67">
        <w:t xml:space="preserve">it would have been better if the GDC had said in terms that the </w:t>
      </w:r>
      <w:r w:rsidR="00264834">
        <w:t>particular kinds of support identified by the IRP would not have been significant in the context of the support that TZB was already receiving</w:t>
      </w:r>
      <w:r w:rsidR="0035642E">
        <w:t>,</w:t>
      </w:r>
      <w:r w:rsidR="00264834">
        <w:t xml:space="preserve"> but I </w:t>
      </w:r>
      <w:r w:rsidR="00D40056">
        <w:t>do not feel able to</w:t>
      </w:r>
      <w:r w:rsidR="0035642E">
        <w:t xml:space="preserve"> say that the failure to do so amounted to an error of law.  </w:t>
      </w:r>
      <w:r w:rsidR="00D40056">
        <w:t>T</w:t>
      </w:r>
      <w:r w:rsidR="00E829E8">
        <w:t xml:space="preserve">he duty to give reasons, important as it is, should not </w:t>
      </w:r>
      <w:r w:rsidR="00F90408">
        <w:t>impose an unreali</w:t>
      </w:r>
      <w:r w:rsidR="005169F1">
        <w:t>stic burden on governors undertaking a reconsideration.</w:t>
      </w:r>
      <w:r>
        <w:t xml:space="preserve"> </w:t>
      </w:r>
    </w:p>
    <w:p w14:paraId="6B21E6D5" w14:textId="4C2645F3" w:rsidR="00A614F1" w:rsidRPr="00A614F1" w:rsidRDefault="002452C1" w:rsidP="00972118">
      <w:pPr>
        <w:pStyle w:val="ParaLevel1"/>
      </w:pPr>
      <w:r>
        <w:t xml:space="preserve">In the light of that conclusion I need not </w:t>
      </w:r>
      <w:r w:rsidR="00102E10">
        <w:t xml:space="preserve">consider two alternative </w:t>
      </w:r>
      <w:r w:rsidR="00E67EAB">
        <w:t>submission</w:t>
      </w:r>
      <w:r w:rsidR="00102E10">
        <w:t>s</w:t>
      </w:r>
      <w:r w:rsidR="00E67EAB">
        <w:t xml:space="preserve"> raised in the School’s Respondent’s Not</w:t>
      </w:r>
      <w:r w:rsidR="00680CED">
        <w:t>ice</w:t>
      </w:r>
      <w:r w:rsidR="00102E10">
        <w:t xml:space="preserve">, namely </w:t>
      </w:r>
      <w:r w:rsidR="005B4643">
        <w:t xml:space="preserve">(1) </w:t>
      </w:r>
      <w:r w:rsidR="00826403">
        <w:t>that it was legitimate to refer to the witness statement given by</w:t>
      </w:r>
      <w:r w:rsidR="00342B73">
        <w:t xml:space="preserve"> the Chair of the GDC</w:t>
      </w:r>
      <w:r w:rsidR="00826403">
        <w:t xml:space="preserve"> in these proceedings, which </w:t>
      </w:r>
      <w:r w:rsidR="00412B80">
        <w:t>elucidate</w:t>
      </w:r>
      <w:r w:rsidR="00826403">
        <w:t>d</w:t>
      </w:r>
      <w:r w:rsidR="00342B73">
        <w:t xml:space="preserve"> </w:t>
      </w:r>
      <w:r w:rsidR="00826403">
        <w:t>what was said in the minutes</w:t>
      </w:r>
      <w:r w:rsidR="00F470DD">
        <w:t xml:space="preserve"> (</w:t>
      </w:r>
      <w:r w:rsidR="00826403">
        <w:t>see</w:t>
      </w:r>
      <w:r w:rsidR="00F470DD">
        <w:t xml:space="preserve"> the decision of Laws J in </w:t>
      </w:r>
      <w:r w:rsidR="00471F5C" w:rsidRPr="003346A2">
        <w:rPr>
          <w:i/>
          <w:iCs/>
        </w:rPr>
        <w:t xml:space="preserve">W v </w:t>
      </w:r>
      <w:r w:rsidR="003346A2" w:rsidRPr="003346A2">
        <w:rPr>
          <w:i/>
          <w:iCs/>
        </w:rPr>
        <w:t xml:space="preserve">Education Appeal Committee of </w:t>
      </w:r>
      <w:r w:rsidR="00412B80" w:rsidRPr="003346A2">
        <w:rPr>
          <w:i/>
          <w:iCs/>
        </w:rPr>
        <w:t xml:space="preserve">Lancaster County </w:t>
      </w:r>
      <w:r w:rsidR="003346A2" w:rsidRPr="003346A2">
        <w:rPr>
          <w:i/>
          <w:iCs/>
        </w:rPr>
        <w:t>Council</w:t>
      </w:r>
      <w:r w:rsidR="003346A2">
        <w:t xml:space="preserve"> </w:t>
      </w:r>
      <w:r w:rsidR="00412B80">
        <w:t>[1994] ELR 533)</w:t>
      </w:r>
      <w:r w:rsidR="00826403">
        <w:t>;</w:t>
      </w:r>
      <w:r w:rsidR="00412B80">
        <w:t xml:space="preserve"> </w:t>
      </w:r>
      <w:r w:rsidR="005B4643">
        <w:t xml:space="preserve">and (2) that </w:t>
      </w:r>
      <w:r w:rsidR="00A614F1">
        <w:t xml:space="preserve">(as in relation to Ground (A)) </w:t>
      </w:r>
      <w:r w:rsidR="00A614F1" w:rsidRPr="00F72124">
        <w:rPr>
          <w:szCs w:val="24"/>
        </w:rPr>
        <w:t xml:space="preserve">relief </w:t>
      </w:r>
      <w:r w:rsidR="00A614F1">
        <w:rPr>
          <w:szCs w:val="24"/>
        </w:rPr>
        <w:t>should</w:t>
      </w:r>
      <w:r w:rsidR="00A614F1" w:rsidRPr="00F72124">
        <w:rPr>
          <w:szCs w:val="24"/>
        </w:rPr>
        <w:t xml:space="preserve"> be refused</w:t>
      </w:r>
      <w:r w:rsidR="00A614F1" w:rsidRPr="00896C80">
        <w:rPr>
          <w:szCs w:val="24"/>
        </w:rPr>
        <w:t xml:space="preserve"> under section 31 (</w:t>
      </w:r>
      <w:r w:rsidR="00A614F1">
        <w:rPr>
          <w:szCs w:val="24"/>
        </w:rPr>
        <w:t>2A</w:t>
      </w:r>
      <w:r w:rsidR="00A614F1" w:rsidRPr="00896C80">
        <w:rPr>
          <w:szCs w:val="24"/>
        </w:rPr>
        <w:t>) of the 1981</w:t>
      </w:r>
      <w:r w:rsidR="00A614F1">
        <w:rPr>
          <w:szCs w:val="24"/>
        </w:rPr>
        <w:t xml:space="preserve"> </w:t>
      </w:r>
      <w:r w:rsidR="00826403">
        <w:rPr>
          <w:szCs w:val="24"/>
        </w:rPr>
        <w:t>A</w:t>
      </w:r>
      <w:r w:rsidR="00A614F1">
        <w:rPr>
          <w:szCs w:val="24"/>
        </w:rPr>
        <w:t>ct.</w:t>
      </w:r>
    </w:p>
    <w:p w14:paraId="67DB5034" w14:textId="2F220960" w:rsidR="00B8505D" w:rsidRPr="00985291" w:rsidRDefault="00985291" w:rsidP="00972118">
      <w:pPr>
        <w:pStyle w:val="ParaLevel1"/>
        <w:keepNext/>
        <w:numPr>
          <w:ilvl w:val="0"/>
          <w:numId w:val="0"/>
        </w:numPr>
        <w:rPr>
          <w:b/>
          <w:bCs/>
          <w:szCs w:val="24"/>
          <w:u w:val="single"/>
        </w:rPr>
      </w:pPr>
      <w:r>
        <w:rPr>
          <w:b/>
          <w:bCs/>
          <w:szCs w:val="24"/>
          <w:u w:val="single"/>
        </w:rPr>
        <w:t xml:space="preserve">CONCLUSION </w:t>
      </w:r>
    </w:p>
    <w:bookmarkEnd w:id="5"/>
    <w:p w14:paraId="4CDD0446" w14:textId="3524AAA1" w:rsidR="008B5A5D" w:rsidRDefault="001B197F" w:rsidP="00972118">
      <w:pPr>
        <w:pStyle w:val="ParaLevel1"/>
        <w:keepNext/>
        <w:rPr>
          <w:szCs w:val="24"/>
        </w:rPr>
      </w:pPr>
      <w:r>
        <w:rPr>
          <w:szCs w:val="24"/>
        </w:rPr>
        <w:t xml:space="preserve">I </w:t>
      </w:r>
      <w:r w:rsidR="00E33962">
        <w:rPr>
          <w:szCs w:val="24"/>
        </w:rPr>
        <w:t>would for those reasons dismiss the Claimant’s appeal.</w:t>
      </w:r>
      <w:r w:rsidR="006C2C84">
        <w:rPr>
          <w:szCs w:val="24"/>
        </w:rPr>
        <w:t xml:space="preserve">  I</w:t>
      </w:r>
      <w:r w:rsidR="00826403">
        <w:rPr>
          <w:szCs w:val="24"/>
        </w:rPr>
        <w:t>n conclusion, I</w:t>
      </w:r>
      <w:r w:rsidR="006C2C84">
        <w:rPr>
          <w:szCs w:val="24"/>
        </w:rPr>
        <w:t xml:space="preserve"> would like to pay tribute to the clarity </w:t>
      </w:r>
      <w:r w:rsidR="00390E4C">
        <w:rPr>
          <w:szCs w:val="24"/>
        </w:rPr>
        <w:t>of</w:t>
      </w:r>
      <w:r w:rsidR="006C2C84">
        <w:rPr>
          <w:szCs w:val="24"/>
        </w:rPr>
        <w:t xml:space="preserve"> the Judge’s </w:t>
      </w:r>
      <w:r w:rsidR="00390E4C">
        <w:rPr>
          <w:szCs w:val="24"/>
        </w:rPr>
        <w:t>comprehensive</w:t>
      </w:r>
      <w:r w:rsidR="006C2C84">
        <w:rPr>
          <w:szCs w:val="24"/>
        </w:rPr>
        <w:t xml:space="preserve"> judgment</w:t>
      </w:r>
      <w:r w:rsidR="00390E4C">
        <w:rPr>
          <w:szCs w:val="24"/>
        </w:rPr>
        <w:t xml:space="preserve"> and the care which evidently went into it</w:t>
      </w:r>
      <w:r w:rsidR="006C2C84">
        <w:rPr>
          <w:szCs w:val="24"/>
        </w:rPr>
        <w:t>.</w:t>
      </w:r>
    </w:p>
    <w:p w14:paraId="55F9BCE2" w14:textId="43A81087" w:rsidR="008B5A5D" w:rsidRPr="005C7419" w:rsidRDefault="005C7419" w:rsidP="00972118">
      <w:pPr>
        <w:pStyle w:val="ParaLevel1"/>
        <w:numPr>
          <w:ilvl w:val="0"/>
          <w:numId w:val="0"/>
        </w:numPr>
        <w:rPr>
          <w:b/>
          <w:bCs/>
          <w:szCs w:val="24"/>
        </w:rPr>
      </w:pPr>
      <w:r>
        <w:rPr>
          <w:b/>
          <w:bCs/>
          <w:szCs w:val="24"/>
        </w:rPr>
        <w:t>King LJ:</w:t>
      </w:r>
    </w:p>
    <w:p w14:paraId="590F8E67" w14:textId="74AD79C9" w:rsidR="005C7419" w:rsidRDefault="00831DDC" w:rsidP="00972118">
      <w:pPr>
        <w:pStyle w:val="ParaLevel1"/>
      </w:pPr>
      <w:r>
        <w:t>I agree.</w:t>
      </w:r>
    </w:p>
    <w:p w14:paraId="066D088B" w14:textId="52378FD1" w:rsidR="005C7419" w:rsidRPr="005C7419" w:rsidRDefault="005C7419" w:rsidP="00972118">
      <w:pPr>
        <w:pStyle w:val="ParaLevel1"/>
        <w:keepNext/>
        <w:numPr>
          <w:ilvl w:val="0"/>
          <w:numId w:val="0"/>
        </w:numPr>
        <w:rPr>
          <w:b/>
          <w:bCs/>
        </w:rPr>
      </w:pPr>
      <w:r>
        <w:rPr>
          <w:b/>
          <w:bCs/>
        </w:rPr>
        <w:t>Warby LJ:</w:t>
      </w:r>
    </w:p>
    <w:p w14:paraId="33F9A355" w14:textId="2019B6C2" w:rsidR="00BA432C" w:rsidRPr="00027AE1" w:rsidRDefault="00831DDC" w:rsidP="00972118">
      <w:pPr>
        <w:pStyle w:val="ParaLevel1"/>
        <w:keepNext/>
      </w:pPr>
      <w:r>
        <w:t>I also agree.</w:t>
      </w:r>
    </w:p>
    <w:sectPr w:rsidR="00BA432C" w:rsidRPr="00027AE1" w:rsidSect="0097211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8C24" w14:textId="77777777" w:rsidR="00B64648" w:rsidRDefault="00B64648">
      <w:r>
        <w:separator/>
      </w:r>
    </w:p>
  </w:endnote>
  <w:endnote w:type="continuationSeparator" w:id="0">
    <w:p w14:paraId="22A6F77B" w14:textId="77777777" w:rsidR="00B64648" w:rsidRDefault="00B64648">
      <w:r>
        <w:continuationSeparator/>
      </w:r>
    </w:p>
  </w:endnote>
  <w:endnote w:type="continuationNotice" w:id="1">
    <w:p w14:paraId="597381F3" w14:textId="77777777" w:rsidR="00B64648" w:rsidRDefault="00B64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FC40"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416433"/>
      <w:docPartObj>
        <w:docPartGallery w:val="Page Numbers (Bottom of Page)"/>
        <w:docPartUnique/>
      </w:docPartObj>
    </w:sdtPr>
    <w:sdtEndPr>
      <w:rPr>
        <w:rFonts w:ascii="Times New Roman" w:hAnsi="Times New Roman"/>
        <w:noProof/>
        <w:sz w:val="22"/>
        <w:szCs w:val="22"/>
      </w:rPr>
    </w:sdtEndPr>
    <w:sdtContent>
      <w:p w14:paraId="7D15DD04" w14:textId="39D9302D" w:rsidR="00972118" w:rsidRPr="00972118" w:rsidRDefault="00972118">
        <w:pPr>
          <w:pStyle w:val="Footer"/>
          <w:jc w:val="center"/>
          <w:rPr>
            <w:rFonts w:ascii="Times New Roman" w:hAnsi="Times New Roman"/>
            <w:sz w:val="22"/>
            <w:szCs w:val="22"/>
          </w:rPr>
        </w:pPr>
        <w:r w:rsidRPr="00972118">
          <w:rPr>
            <w:rFonts w:ascii="Times New Roman" w:hAnsi="Times New Roman"/>
            <w:sz w:val="22"/>
            <w:szCs w:val="22"/>
          </w:rPr>
          <w:fldChar w:fldCharType="begin"/>
        </w:r>
        <w:r w:rsidRPr="00972118">
          <w:rPr>
            <w:rFonts w:ascii="Times New Roman" w:hAnsi="Times New Roman"/>
            <w:sz w:val="22"/>
            <w:szCs w:val="22"/>
          </w:rPr>
          <w:instrText xml:space="preserve"> PAGE   \* MERGEFORMAT </w:instrText>
        </w:r>
        <w:r w:rsidRPr="00972118">
          <w:rPr>
            <w:rFonts w:ascii="Times New Roman" w:hAnsi="Times New Roman"/>
            <w:sz w:val="22"/>
            <w:szCs w:val="22"/>
          </w:rPr>
          <w:fldChar w:fldCharType="separate"/>
        </w:r>
        <w:r w:rsidRPr="00972118">
          <w:rPr>
            <w:rFonts w:ascii="Times New Roman" w:hAnsi="Times New Roman"/>
            <w:noProof/>
            <w:sz w:val="22"/>
            <w:szCs w:val="22"/>
          </w:rPr>
          <w:t>2</w:t>
        </w:r>
        <w:r w:rsidRPr="00972118">
          <w:rPr>
            <w:rFonts w:ascii="Times New Roman" w:hAnsi="Times New Roman"/>
            <w:noProof/>
            <w:sz w:val="22"/>
            <w:szCs w:val="22"/>
          </w:rPr>
          <w:fldChar w:fldCharType="end"/>
        </w:r>
      </w:p>
    </w:sdtContent>
  </w:sdt>
  <w:p w14:paraId="3EB5A6E9" w14:textId="77777777" w:rsidR="00C439A3" w:rsidRPr="00972118" w:rsidRDefault="00C439A3" w:rsidP="00972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46C86" w14:textId="77777777" w:rsidR="00B64648" w:rsidRDefault="00B64648">
      <w:r>
        <w:separator/>
      </w:r>
    </w:p>
  </w:footnote>
  <w:footnote w:type="continuationSeparator" w:id="0">
    <w:p w14:paraId="4BB67E93" w14:textId="77777777" w:rsidR="00B64648" w:rsidRDefault="00B64648">
      <w:r>
        <w:continuationSeparator/>
      </w:r>
    </w:p>
  </w:footnote>
  <w:footnote w:type="continuationNotice" w:id="1">
    <w:p w14:paraId="525FF3BD" w14:textId="77777777" w:rsidR="00B64648" w:rsidRDefault="00B64648"/>
  </w:footnote>
  <w:footnote w:id="2">
    <w:p w14:paraId="39829F97" w14:textId="42AA42C1" w:rsidR="00387A00" w:rsidRPr="00137151" w:rsidRDefault="00387A00" w:rsidP="00BB1E81">
      <w:pPr>
        <w:pStyle w:val="FootnoteText"/>
        <w:ind w:left="851" w:hanging="851"/>
        <w:jc w:val="both"/>
        <w:rPr>
          <w:sz w:val="22"/>
          <w:szCs w:val="22"/>
        </w:rPr>
      </w:pPr>
      <w:r>
        <w:rPr>
          <w:rStyle w:val="FootnoteReference"/>
        </w:rPr>
        <w:footnoteRef/>
      </w:r>
      <w:r>
        <w:t xml:space="preserve"> </w:t>
      </w:r>
      <w:r>
        <w:tab/>
      </w:r>
      <w:r w:rsidRPr="00137151">
        <w:rPr>
          <w:sz w:val="22"/>
          <w:szCs w:val="22"/>
        </w:rPr>
        <w:t>I say “were” because the</w:t>
      </w:r>
      <w:r w:rsidR="003E3C10">
        <w:rPr>
          <w:sz w:val="22"/>
          <w:szCs w:val="22"/>
        </w:rPr>
        <w:t xml:space="preserve"> Regulations have been amended</w:t>
      </w:r>
      <w:r w:rsidR="009B0A4A">
        <w:rPr>
          <w:sz w:val="22"/>
          <w:szCs w:val="22"/>
        </w:rPr>
        <w:t xml:space="preserve">: </w:t>
      </w:r>
      <w:r w:rsidR="00BB1E81">
        <w:rPr>
          <w:sz w:val="22"/>
          <w:szCs w:val="22"/>
        </w:rPr>
        <w:t>the</w:t>
      </w:r>
      <w:r w:rsidRPr="00137151">
        <w:rPr>
          <w:sz w:val="22"/>
          <w:szCs w:val="22"/>
        </w:rPr>
        <w:t xml:space="preserve"> relevant provision </w:t>
      </w:r>
      <w:r w:rsidR="00137151" w:rsidRPr="00137151">
        <w:rPr>
          <w:sz w:val="22"/>
          <w:szCs w:val="22"/>
        </w:rPr>
        <w:t xml:space="preserve">is now to be found in regulation 9.  </w:t>
      </w:r>
    </w:p>
  </w:footnote>
  <w:footnote w:id="3">
    <w:p w14:paraId="6C5E955E" w14:textId="4AF43525" w:rsidR="00D96A78" w:rsidRDefault="00D96A78" w:rsidP="00283BD8">
      <w:pPr>
        <w:pStyle w:val="FootnoteText"/>
        <w:ind w:left="709" w:hanging="709"/>
        <w:jc w:val="both"/>
      </w:pPr>
      <w:r>
        <w:rPr>
          <w:rStyle w:val="FootnoteReference"/>
        </w:rPr>
        <w:footnoteRef/>
      </w:r>
      <w:r>
        <w:t xml:space="preserve"> </w:t>
      </w:r>
      <w:r>
        <w:tab/>
      </w:r>
      <w:r w:rsidRPr="00283BD8">
        <w:rPr>
          <w:sz w:val="22"/>
          <w:szCs w:val="22"/>
        </w:rPr>
        <w:t xml:space="preserve">As I understand it, </w:t>
      </w:r>
      <w:r w:rsidR="00625A40" w:rsidRPr="00283BD8">
        <w:rPr>
          <w:sz w:val="22"/>
          <w:szCs w:val="22"/>
        </w:rPr>
        <w:t>the duties in question arise under Part 3 of the Children and Families Act 201</w:t>
      </w:r>
      <w:r w:rsidR="0013652C" w:rsidRPr="00283BD8">
        <w:rPr>
          <w:sz w:val="22"/>
          <w:szCs w:val="22"/>
        </w:rPr>
        <w:t xml:space="preserve">4, although where the needs in </w:t>
      </w:r>
      <w:r w:rsidR="00283BD8" w:rsidRPr="00283BD8">
        <w:rPr>
          <w:sz w:val="22"/>
          <w:szCs w:val="22"/>
        </w:rPr>
        <w:t>question</w:t>
      </w:r>
      <w:r w:rsidR="0013652C" w:rsidRPr="00283BD8">
        <w:rPr>
          <w:sz w:val="22"/>
          <w:szCs w:val="22"/>
        </w:rPr>
        <w:t xml:space="preserve"> are the result of a disability </w:t>
      </w:r>
      <w:r w:rsidR="00283BD8" w:rsidRPr="00283BD8">
        <w:rPr>
          <w:sz w:val="22"/>
          <w:szCs w:val="22"/>
        </w:rPr>
        <w:t>within the meaning of the 2010 Act Part 6 of that Act will also be engaged</w:t>
      </w:r>
      <w:r w:rsidR="00283BD8">
        <w:t xml:space="preserve">.  </w:t>
      </w:r>
    </w:p>
  </w:footnote>
  <w:footnote w:id="4">
    <w:p w14:paraId="67AD7528" w14:textId="09FBA372" w:rsidR="00ED2504" w:rsidRDefault="00ED2504" w:rsidP="00B6325A">
      <w:pPr>
        <w:pStyle w:val="FootnoteText"/>
        <w:ind w:left="709" w:hanging="709"/>
        <w:jc w:val="both"/>
        <w:rPr>
          <w:sz w:val="22"/>
          <w:szCs w:val="22"/>
        </w:rPr>
      </w:pPr>
      <w:r>
        <w:rPr>
          <w:rStyle w:val="FootnoteReference"/>
        </w:rPr>
        <w:footnoteRef/>
      </w:r>
      <w:r>
        <w:t xml:space="preserve"> </w:t>
      </w:r>
      <w:r>
        <w:tab/>
      </w:r>
      <w:r w:rsidRPr="00B6325A">
        <w:rPr>
          <w:sz w:val="22"/>
          <w:szCs w:val="22"/>
        </w:rPr>
        <w:t xml:space="preserve">Of course in principle article 149 (1) </w:t>
      </w:r>
      <w:r w:rsidR="00F76AA7" w:rsidRPr="00B6325A">
        <w:rPr>
          <w:sz w:val="22"/>
          <w:szCs w:val="22"/>
        </w:rPr>
        <w:t xml:space="preserve">applies to every decision by a public authority; but what I mean by it being “engaged” </w:t>
      </w:r>
      <w:r w:rsidR="00DD0F4E" w:rsidRPr="00B6325A">
        <w:rPr>
          <w:sz w:val="22"/>
          <w:szCs w:val="22"/>
        </w:rPr>
        <w:t xml:space="preserve">in a particular situation is that </w:t>
      </w:r>
      <w:r w:rsidR="009759A3" w:rsidRPr="00B6325A">
        <w:rPr>
          <w:sz w:val="22"/>
          <w:szCs w:val="22"/>
        </w:rPr>
        <w:t xml:space="preserve">the </w:t>
      </w:r>
      <w:r w:rsidR="00547722">
        <w:rPr>
          <w:sz w:val="22"/>
          <w:szCs w:val="22"/>
        </w:rPr>
        <w:t>specified</w:t>
      </w:r>
      <w:r w:rsidR="00B6325A" w:rsidRPr="00B6325A">
        <w:rPr>
          <w:sz w:val="22"/>
          <w:szCs w:val="22"/>
        </w:rPr>
        <w:t xml:space="preserve"> </w:t>
      </w:r>
      <w:r w:rsidR="009759A3" w:rsidRPr="00B6325A">
        <w:rPr>
          <w:sz w:val="22"/>
          <w:szCs w:val="22"/>
        </w:rPr>
        <w:t>considerations may in practice</w:t>
      </w:r>
      <w:r w:rsidR="00B6325A" w:rsidRPr="00B6325A">
        <w:rPr>
          <w:sz w:val="22"/>
          <w:szCs w:val="22"/>
        </w:rPr>
        <w:t xml:space="preserve"> affect the decisions taken.</w:t>
      </w:r>
    </w:p>
    <w:p w14:paraId="0A03F5B9" w14:textId="77777777" w:rsidR="003D699D" w:rsidRPr="00B6325A" w:rsidRDefault="003D699D" w:rsidP="00B6325A">
      <w:pPr>
        <w:pStyle w:val="FootnoteText"/>
        <w:ind w:left="709" w:hanging="709"/>
        <w:jc w:val="both"/>
        <w:rPr>
          <w:sz w:val="22"/>
          <w:szCs w:val="22"/>
        </w:rPr>
      </w:pPr>
    </w:p>
  </w:footnote>
  <w:footnote w:id="5">
    <w:p w14:paraId="76060DFB" w14:textId="3C3CF2AF" w:rsidR="00EA616D" w:rsidRPr="0007754D" w:rsidRDefault="00EA616D" w:rsidP="00107AA5">
      <w:pPr>
        <w:pStyle w:val="FootnoteText"/>
        <w:ind w:left="709" w:hanging="709"/>
        <w:jc w:val="both"/>
        <w:rPr>
          <w:sz w:val="22"/>
          <w:szCs w:val="22"/>
        </w:rPr>
      </w:pPr>
      <w:r>
        <w:rPr>
          <w:rStyle w:val="FootnoteReference"/>
        </w:rPr>
        <w:footnoteRef/>
      </w:r>
      <w:r>
        <w:t xml:space="preserve"> </w:t>
      </w:r>
      <w:r>
        <w:tab/>
      </w:r>
      <w:r w:rsidRPr="0007754D">
        <w:rPr>
          <w:sz w:val="22"/>
          <w:szCs w:val="22"/>
        </w:rPr>
        <w:t xml:space="preserve">I refer to “the school” rather than “the headteacher” because </w:t>
      </w:r>
      <w:r w:rsidR="00CB0DEF" w:rsidRPr="0007754D">
        <w:rPr>
          <w:sz w:val="22"/>
          <w:szCs w:val="22"/>
        </w:rPr>
        <w:t xml:space="preserve">the decision whether to exclude a student permanently is </w:t>
      </w:r>
      <w:r w:rsidR="00A35EE2">
        <w:rPr>
          <w:sz w:val="22"/>
          <w:szCs w:val="22"/>
        </w:rPr>
        <w:t>the result of</w:t>
      </w:r>
      <w:r w:rsidR="0007754D" w:rsidRPr="0007754D">
        <w:rPr>
          <w:sz w:val="22"/>
          <w:szCs w:val="22"/>
        </w:rPr>
        <w:t xml:space="preserve"> a process involving not only the hea</w:t>
      </w:r>
      <w:r w:rsidR="0007754D">
        <w:rPr>
          <w:sz w:val="22"/>
          <w:szCs w:val="22"/>
        </w:rPr>
        <w:t>d</w:t>
      </w:r>
      <w:r w:rsidR="0007754D" w:rsidRPr="0007754D">
        <w:rPr>
          <w:sz w:val="22"/>
          <w:szCs w:val="22"/>
        </w:rPr>
        <w:t xml:space="preserve">teacher but also the governors: see para. </w:t>
      </w:r>
      <w:r w:rsidR="00AC5056">
        <w:rPr>
          <w:sz w:val="22"/>
          <w:szCs w:val="22"/>
        </w:rPr>
        <w:t>69</w:t>
      </w:r>
      <w:r w:rsidR="0007754D" w:rsidRPr="0007754D">
        <w:rPr>
          <w:sz w:val="22"/>
          <w:szCs w:val="22"/>
        </w:rPr>
        <w:t xml:space="preserve"> below.</w:t>
      </w:r>
    </w:p>
  </w:footnote>
  <w:footnote w:id="6">
    <w:p w14:paraId="57471146" w14:textId="383AF1FB" w:rsidR="00A72327" w:rsidRDefault="00A72327" w:rsidP="00B52534">
      <w:pPr>
        <w:pStyle w:val="FootnoteText"/>
        <w:ind w:left="709" w:hanging="709"/>
        <w:jc w:val="both"/>
      </w:pPr>
      <w:r>
        <w:rPr>
          <w:rStyle w:val="FootnoteReference"/>
        </w:rPr>
        <w:footnoteRef/>
      </w:r>
      <w:r>
        <w:t xml:space="preserve"> </w:t>
      </w:r>
      <w:r>
        <w:tab/>
      </w:r>
      <w:r w:rsidR="00DD5BE7" w:rsidRPr="00B52534">
        <w:rPr>
          <w:sz w:val="22"/>
          <w:szCs w:val="22"/>
        </w:rPr>
        <w:t xml:space="preserve">I have silently corrected </w:t>
      </w:r>
      <w:r w:rsidR="00B52534">
        <w:rPr>
          <w:sz w:val="22"/>
          <w:szCs w:val="22"/>
        </w:rPr>
        <w:t>one or two</w:t>
      </w:r>
      <w:r w:rsidRPr="00B52534">
        <w:rPr>
          <w:sz w:val="22"/>
          <w:szCs w:val="22"/>
        </w:rPr>
        <w:t xml:space="preserve"> </w:t>
      </w:r>
      <w:r w:rsidR="00DD5BE7" w:rsidRPr="00B52534">
        <w:rPr>
          <w:sz w:val="22"/>
          <w:szCs w:val="22"/>
        </w:rPr>
        <w:t xml:space="preserve">minor obvious </w:t>
      </w:r>
      <w:r w:rsidRPr="00B52534">
        <w:rPr>
          <w:sz w:val="22"/>
          <w:szCs w:val="22"/>
        </w:rPr>
        <w:t xml:space="preserve">errors in the </w:t>
      </w:r>
      <w:r w:rsidR="005D7F9D" w:rsidRPr="00B52534">
        <w:rPr>
          <w:sz w:val="22"/>
          <w:szCs w:val="22"/>
        </w:rPr>
        <w:t>language and punctuation of the letter</w:t>
      </w:r>
      <w:r w:rsidR="00B52534" w:rsidRPr="00B52534">
        <w:rPr>
          <w:sz w:val="22"/>
          <w:szCs w:val="22"/>
        </w:rPr>
        <w:t>.</w:t>
      </w:r>
    </w:p>
  </w:footnote>
  <w:footnote w:id="7">
    <w:p w14:paraId="1569CB32" w14:textId="65F7285A" w:rsidR="005A2331" w:rsidRDefault="005A2331" w:rsidP="002E7BE1">
      <w:pPr>
        <w:pStyle w:val="FootnoteText"/>
        <w:ind w:left="709" w:hanging="709"/>
        <w:jc w:val="both"/>
        <w:rPr>
          <w:sz w:val="22"/>
          <w:szCs w:val="22"/>
        </w:rPr>
      </w:pPr>
      <w:r>
        <w:rPr>
          <w:rStyle w:val="FootnoteReference"/>
        </w:rPr>
        <w:footnoteRef/>
      </w:r>
      <w:r>
        <w:t xml:space="preserve"> </w:t>
      </w:r>
      <w:r>
        <w:tab/>
      </w:r>
      <w:r w:rsidR="00C76CD8">
        <w:rPr>
          <w:sz w:val="22"/>
          <w:szCs w:val="22"/>
        </w:rPr>
        <w:t xml:space="preserve">The </w:t>
      </w:r>
      <w:r w:rsidRPr="002E7BE1">
        <w:rPr>
          <w:sz w:val="22"/>
          <w:szCs w:val="22"/>
        </w:rPr>
        <w:t>name actually used here and later in the same paragraph was that of another student</w:t>
      </w:r>
      <w:r w:rsidR="004D596E" w:rsidRPr="002E7BE1">
        <w:rPr>
          <w:sz w:val="22"/>
          <w:szCs w:val="22"/>
        </w:rPr>
        <w:t>.  That was careless</w:t>
      </w:r>
      <w:r w:rsidR="002E7BE1">
        <w:rPr>
          <w:sz w:val="22"/>
          <w:szCs w:val="22"/>
        </w:rPr>
        <w:t>,</w:t>
      </w:r>
      <w:r w:rsidR="004D596E" w:rsidRPr="002E7BE1">
        <w:rPr>
          <w:sz w:val="22"/>
          <w:szCs w:val="22"/>
        </w:rPr>
        <w:t xml:space="preserve"> but TZB’s correct name was used in the rest of </w:t>
      </w:r>
      <w:r w:rsidR="002E7BE1" w:rsidRPr="002E7BE1">
        <w:rPr>
          <w:sz w:val="22"/>
          <w:szCs w:val="22"/>
        </w:rPr>
        <w:t xml:space="preserve">the letter and </w:t>
      </w:r>
      <w:r w:rsidR="00564748">
        <w:rPr>
          <w:sz w:val="22"/>
          <w:szCs w:val="22"/>
        </w:rPr>
        <w:t xml:space="preserve">the mistake </w:t>
      </w:r>
      <w:r w:rsidR="002E7BE1" w:rsidRPr="002E7BE1">
        <w:rPr>
          <w:sz w:val="22"/>
          <w:szCs w:val="22"/>
        </w:rPr>
        <w:t>is not a matter of any significance for our purposes.</w:t>
      </w:r>
    </w:p>
    <w:p w14:paraId="1D348961" w14:textId="77777777" w:rsidR="00D51598" w:rsidRDefault="00D51598" w:rsidP="002E7BE1">
      <w:pPr>
        <w:pStyle w:val="FootnoteText"/>
        <w:ind w:left="709" w:hanging="709"/>
        <w:jc w:val="both"/>
      </w:pPr>
    </w:p>
  </w:footnote>
  <w:footnote w:id="8">
    <w:p w14:paraId="59E10194" w14:textId="635A80CE" w:rsidR="00D223A2" w:rsidRDefault="00D223A2" w:rsidP="00A61DA6">
      <w:pPr>
        <w:pStyle w:val="FootnoteText"/>
        <w:ind w:left="709" w:hanging="709"/>
        <w:jc w:val="both"/>
      </w:pPr>
      <w:r>
        <w:rPr>
          <w:rStyle w:val="FootnoteReference"/>
        </w:rPr>
        <w:footnoteRef/>
      </w:r>
      <w:r>
        <w:t xml:space="preserve"> </w:t>
      </w:r>
      <w:r>
        <w:rPr>
          <w:szCs w:val="24"/>
        </w:rPr>
        <w:tab/>
      </w:r>
      <w:r w:rsidRPr="00A61DA6">
        <w:rPr>
          <w:sz w:val="22"/>
          <w:szCs w:val="22"/>
        </w:rPr>
        <w:t xml:space="preserve">KM </w:t>
      </w:r>
      <w:r w:rsidR="0012681E" w:rsidRPr="00A61DA6">
        <w:rPr>
          <w:sz w:val="22"/>
          <w:szCs w:val="22"/>
        </w:rPr>
        <w:t xml:space="preserve">was in fact a lawyer, though she was representing the family </w:t>
      </w:r>
      <w:r w:rsidR="001153B8" w:rsidRPr="00A61DA6">
        <w:rPr>
          <w:sz w:val="22"/>
          <w:szCs w:val="22"/>
        </w:rPr>
        <w:t>in a personal capacity.  She</w:t>
      </w:r>
      <w:r w:rsidR="0012681E" w:rsidRPr="00A61DA6">
        <w:rPr>
          <w:sz w:val="22"/>
          <w:szCs w:val="22"/>
        </w:rPr>
        <w:t xml:space="preserve"> </w:t>
      </w:r>
      <w:r w:rsidR="00A8602B" w:rsidRPr="00A61DA6">
        <w:rPr>
          <w:sz w:val="22"/>
          <w:szCs w:val="22"/>
        </w:rPr>
        <w:t xml:space="preserve">had particular </w:t>
      </w:r>
      <w:r w:rsidR="001153B8" w:rsidRPr="00A61DA6">
        <w:rPr>
          <w:sz w:val="22"/>
          <w:szCs w:val="22"/>
        </w:rPr>
        <w:t>experience in</w:t>
      </w:r>
      <w:r w:rsidR="0012681E" w:rsidRPr="00A61DA6">
        <w:rPr>
          <w:sz w:val="22"/>
          <w:szCs w:val="22"/>
        </w:rPr>
        <w:t xml:space="preserve"> school exclusion </w:t>
      </w:r>
      <w:r w:rsidR="001153B8" w:rsidRPr="00A61DA6">
        <w:rPr>
          <w:sz w:val="22"/>
          <w:szCs w:val="22"/>
        </w:rPr>
        <w:t xml:space="preserve">cases because </w:t>
      </w:r>
      <w:r w:rsidR="00912E15" w:rsidRPr="00A61DA6">
        <w:rPr>
          <w:sz w:val="22"/>
          <w:szCs w:val="22"/>
        </w:rPr>
        <w:t xml:space="preserve">they </w:t>
      </w:r>
      <w:r w:rsidR="00A61DA6" w:rsidRPr="00A61DA6">
        <w:rPr>
          <w:sz w:val="22"/>
          <w:szCs w:val="22"/>
        </w:rPr>
        <w:t>fell</w:t>
      </w:r>
      <w:r w:rsidR="00912E15" w:rsidRPr="00A61DA6">
        <w:rPr>
          <w:sz w:val="22"/>
          <w:szCs w:val="22"/>
        </w:rPr>
        <w:t xml:space="preserve"> within her role as an employed lawyer </w:t>
      </w:r>
      <w:r w:rsidR="00A61DA6" w:rsidRPr="00A61DA6">
        <w:rPr>
          <w:sz w:val="22"/>
          <w:szCs w:val="22"/>
        </w:rPr>
        <w:t>with</w:t>
      </w:r>
      <w:r w:rsidRPr="00A61DA6">
        <w:rPr>
          <w:sz w:val="22"/>
          <w:szCs w:val="22"/>
        </w:rPr>
        <w:t xml:space="preserve"> a different local </w:t>
      </w:r>
      <w:r w:rsidR="00A61DA6">
        <w:rPr>
          <w:sz w:val="22"/>
          <w:szCs w:val="22"/>
        </w:rPr>
        <w:t>authority</w:t>
      </w:r>
      <w:r w:rsidR="00A61DA6" w:rsidRPr="00A61DA6">
        <w:rPr>
          <w:sz w:val="22"/>
          <w:szCs w:val="22"/>
        </w:rPr>
        <w:t>.</w:t>
      </w:r>
      <w:r w:rsidR="00A8602B">
        <w:rPr>
          <w:szCs w:val="24"/>
        </w:rPr>
        <w:t xml:space="preserve"> </w:t>
      </w:r>
    </w:p>
  </w:footnote>
  <w:footnote w:id="9">
    <w:p w14:paraId="42DB0E59" w14:textId="74C79E9C" w:rsidR="00A14570" w:rsidRPr="004D7613" w:rsidRDefault="00A14570" w:rsidP="004D7613">
      <w:pPr>
        <w:pStyle w:val="FootnoteText"/>
        <w:ind w:left="709" w:hanging="709"/>
        <w:jc w:val="both"/>
        <w:rPr>
          <w:sz w:val="22"/>
          <w:szCs w:val="22"/>
        </w:rPr>
      </w:pPr>
      <w:r>
        <w:rPr>
          <w:rStyle w:val="FootnoteReference"/>
        </w:rPr>
        <w:footnoteRef/>
      </w:r>
      <w:r>
        <w:t xml:space="preserve"> </w:t>
      </w:r>
      <w:r>
        <w:tab/>
      </w:r>
      <w:r w:rsidRPr="004D7613">
        <w:rPr>
          <w:sz w:val="22"/>
          <w:szCs w:val="22"/>
        </w:rPr>
        <w:t xml:space="preserve">The particular authority to which he referred was </w:t>
      </w:r>
      <w:r w:rsidRPr="004D7613">
        <w:rPr>
          <w:i/>
          <w:iCs/>
          <w:sz w:val="22"/>
          <w:szCs w:val="22"/>
        </w:rPr>
        <w:t>R (</w:t>
      </w:r>
      <w:r w:rsidRPr="004D7613">
        <w:rPr>
          <w:i/>
          <w:iCs/>
          <w:color w:val="000000"/>
          <w:sz w:val="22"/>
          <w:szCs w:val="22"/>
        </w:rPr>
        <w:t>KE) v Bristol City Council</w:t>
      </w:r>
      <w:r w:rsidRPr="004D7613">
        <w:rPr>
          <w:color w:val="000000"/>
          <w:sz w:val="22"/>
          <w:szCs w:val="22"/>
        </w:rPr>
        <w:t xml:space="preserve"> [2018] EWHC 2103 (Admin) </w:t>
      </w:r>
      <w:r w:rsidR="003A7C4A" w:rsidRPr="004D7613">
        <w:rPr>
          <w:color w:val="000000"/>
          <w:sz w:val="22"/>
          <w:szCs w:val="22"/>
        </w:rPr>
        <w:t>(per HH Judge Cotter QC at paras. 50-52)</w:t>
      </w:r>
      <w:r w:rsidR="000F441B" w:rsidRPr="004D7613">
        <w:rPr>
          <w:color w:val="000000"/>
          <w:sz w:val="22"/>
          <w:szCs w:val="22"/>
        </w:rPr>
        <w:t xml:space="preserve">, but he had earlier in his judgment </w:t>
      </w:r>
      <w:r w:rsidR="00357A86" w:rsidRPr="004D7613">
        <w:rPr>
          <w:color w:val="000000"/>
          <w:sz w:val="22"/>
          <w:szCs w:val="22"/>
        </w:rPr>
        <w:t xml:space="preserve">referred to </w:t>
      </w:r>
      <w:r w:rsidR="00A23500" w:rsidRPr="004D7613">
        <w:rPr>
          <w:i/>
          <w:iCs/>
          <w:color w:val="000000"/>
          <w:sz w:val="22"/>
          <w:szCs w:val="22"/>
        </w:rPr>
        <w:t>R (</w:t>
      </w:r>
      <w:r w:rsidR="00357A86" w:rsidRPr="004D7613">
        <w:rPr>
          <w:i/>
          <w:iCs/>
          <w:color w:val="000000"/>
          <w:sz w:val="22"/>
          <w:szCs w:val="22"/>
        </w:rPr>
        <w:t>AD</w:t>
      </w:r>
      <w:r w:rsidR="00A23500" w:rsidRPr="004D7613">
        <w:rPr>
          <w:i/>
          <w:iCs/>
          <w:color w:val="000000"/>
          <w:sz w:val="22"/>
          <w:szCs w:val="22"/>
        </w:rPr>
        <w:t>)</w:t>
      </w:r>
      <w:r w:rsidR="00357A86" w:rsidRPr="004D7613">
        <w:rPr>
          <w:i/>
          <w:iCs/>
          <w:color w:val="000000"/>
          <w:sz w:val="22"/>
          <w:szCs w:val="22"/>
        </w:rPr>
        <w:t xml:space="preserve"> v London Borough of Hackney</w:t>
      </w:r>
      <w:r w:rsidR="00357A86" w:rsidRPr="004D7613">
        <w:rPr>
          <w:color w:val="000000"/>
          <w:sz w:val="22"/>
          <w:szCs w:val="22"/>
        </w:rPr>
        <w:t xml:space="preserve"> [2019] EWHC 943 (Admin)</w:t>
      </w:r>
      <w:r w:rsidR="00A23500" w:rsidRPr="004D7613">
        <w:rPr>
          <w:color w:val="000000"/>
          <w:sz w:val="22"/>
          <w:szCs w:val="22"/>
        </w:rPr>
        <w:t xml:space="preserve">, </w:t>
      </w:r>
      <w:r w:rsidR="00357A86" w:rsidRPr="004D7613">
        <w:rPr>
          <w:color w:val="000000"/>
          <w:sz w:val="22"/>
          <w:szCs w:val="22"/>
        </w:rPr>
        <w:t>[2019] PTSR 1947</w:t>
      </w:r>
      <w:r w:rsidR="00A23500" w:rsidRPr="004D7613">
        <w:rPr>
          <w:color w:val="000000"/>
          <w:sz w:val="22"/>
          <w:szCs w:val="22"/>
        </w:rPr>
        <w:t xml:space="preserve"> (per Supperstone J </w:t>
      </w:r>
      <w:r w:rsidR="004D7613" w:rsidRPr="004D7613">
        <w:rPr>
          <w:color w:val="000000"/>
          <w:sz w:val="22"/>
          <w:szCs w:val="22"/>
        </w:rPr>
        <w:t>at para. 83).  Both cases refer to a number of other authorities making the same point.</w:t>
      </w:r>
    </w:p>
  </w:footnote>
  <w:footnote w:id="10">
    <w:p w14:paraId="5C637703" w14:textId="63843877" w:rsidR="00A64CAA" w:rsidRPr="00A64CAA" w:rsidRDefault="00A64CAA">
      <w:pPr>
        <w:pStyle w:val="FootnoteText"/>
        <w:rPr>
          <w:sz w:val="22"/>
          <w:szCs w:val="22"/>
        </w:rPr>
      </w:pPr>
      <w:r>
        <w:rPr>
          <w:rStyle w:val="FootnoteReference"/>
        </w:rPr>
        <w:footnoteRef/>
      </w:r>
      <w:r>
        <w:t xml:space="preserve"> </w:t>
      </w:r>
      <w:r>
        <w:tab/>
        <w:t xml:space="preserve">   </w:t>
      </w:r>
      <w:r w:rsidRPr="00A64CAA">
        <w:rPr>
          <w:sz w:val="22"/>
          <w:szCs w:val="22"/>
        </w:rPr>
        <w:t xml:space="preserve">I think this </w:t>
      </w:r>
      <w:r w:rsidR="00390E4C">
        <w:rPr>
          <w:sz w:val="22"/>
          <w:szCs w:val="22"/>
        </w:rPr>
        <w:t>includes also</w:t>
      </w:r>
      <w:r w:rsidRPr="00A64CAA">
        <w:rPr>
          <w:sz w:val="22"/>
          <w:szCs w:val="22"/>
        </w:rPr>
        <w:t xml:space="preserve"> whether mo</w:t>
      </w:r>
      <w:r>
        <w:rPr>
          <w:sz w:val="22"/>
          <w:szCs w:val="22"/>
        </w:rPr>
        <w:t>re</w:t>
      </w:r>
      <w:r w:rsidRPr="00A64CAA">
        <w:rPr>
          <w:sz w:val="22"/>
          <w:szCs w:val="22"/>
        </w:rPr>
        <w:t xml:space="preserve"> could have been done.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1B875081" w14:textId="77777777">
      <w:tc>
        <w:tcPr>
          <w:tcW w:w="4622" w:type="dxa"/>
        </w:tcPr>
        <w:p w14:paraId="55DB6944" w14:textId="54B77B7A" w:rsidR="00C439A3" w:rsidRPr="00972118" w:rsidRDefault="00972118">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D623490" w14:textId="481AAEFE" w:rsidR="00C439A3" w:rsidRDefault="00A20292">
          <w:pPr>
            <w:pStyle w:val="Header"/>
            <w:jc w:val="right"/>
            <w:rPr>
              <w:rFonts w:ascii="Times New Roman" w:hAnsi="Times New Roman"/>
              <w:sz w:val="16"/>
            </w:rPr>
          </w:pPr>
          <w:r>
            <w:rPr>
              <w:rFonts w:ascii="Times New Roman" w:hAnsi="Times New Roman"/>
              <w:sz w:val="16"/>
            </w:rPr>
            <w:t>TZA v A Secondary School</w:t>
          </w:r>
        </w:p>
      </w:tc>
    </w:tr>
  </w:tbl>
  <w:p w14:paraId="312836B0"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39A8"/>
    <w:multiLevelType w:val="hybridMultilevel"/>
    <w:tmpl w:val="AF40CE50"/>
    <w:lvl w:ilvl="0" w:tplc="432EC824">
      <w:start w:val="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8D"/>
    <w:rsid w:val="000003B1"/>
    <w:rsid w:val="00000F44"/>
    <w:rsid w:val="00001073"/>
    <w:rsid w:val="000010DE"/>
    <w:rsid w:val="00001274"/>
    <w:rsid w:val="000012B6"/>
    <w:rsid w:val="00001719"/>
    <w:rsid w:val="00001A6C"/>
    <w:rsid w:val="00001B85"/>
    <w:rsid w:val="00002023"/>
    <w:rsid w:val="0000282E"/>
    <w:rsid w:val="000028DF"/>
    <w:rsid w:val="00002D9C"/>
    <w:rsid w:val="0000491D"/>
    <w:rsid w:val="00004B78"/>
    <w:rsid w:val="00004BC1"/>
    <w:rsid w:val="00005406"/>
    <w:rsid w:val="000054CE"/>
    <w:rsid w:val="0000577B"/>
    <w:rsid w:val="000059F0"/>
    <w:rsid w:val="00005CE8"/>
    <w:rsid w:val="00006848"/>
    <w:rsid w:val="00006BF2"/>
    <w:rsid w:val="00006FE4"/>
    <w:rsid w:val="0000706D"/>
    <w:rsid w:val="00007213"/>
    <w:rsid w:val="0000752C"/>
    <w:rsid w:val="00007805"/>
    <w:rsid w:val="00007A46"/>
    <w:rsid w:val="00007B8B"/>
    <w:rsid w:val="00007DDE"/>
    <w:rsid w:val="00007DF6"/>
    <w:rsid w:val="000105AC"/>
    <w:rsid w:val="00010727"/>
    <w:rsid w:val="00010D63"/>
    <w:rsid w:val="00010F20"/>
    <w:rsid w:val="00011170"/>
    <w:rsid w:val="00011279"/>
    <w:rsid w:val="0001132A"/>
    <w:rsid w:val="000115B4"/>
    <w:rsid w:val="000117A6"/>
    <w:rsid w:val="00011C3A"/>
    <w:rsid w:val="00012187"/>
    <w:rsid w:val="000123DD"/>
    <w:rsid w:val="0001300E"/>
    <w:rsid w:val="0001333F"/>
    <w:rsid w:val="00013623"/>
    <w:rsid w:val="000139B0"/>
    <w:rsid w:val="00013ACD"/>
    <w:rsid w:val="00014002"/>
    <w:rsid w:val="000152C2"/>
    <w:rsid w:val="000153DB"/>
    <w:rsid w:val="0001577F"/>
    <w:rsid w:val="00015CB5"/>
    <w:rsid w:val="00016295"/>
    <w:rsid w:val="00016C0E"/>
    <w:rsid w:val="000174E6"/>
    <w:rsid w:val="00017C9A"/>
    <w:rsid w:val="0002039E"/>
    <w:rsid w:val="00020834"/>
    <w:rsid w:val="00020BCD"/>
    <w:rsid w:val="00020C2E"/>
    <w:rsid w:val="00020D09"/>
    <w:rsid w:val="00020F0C"/>
    <w:rsid w:val="00021C17"/>
    <w:rsid w:val="00021E13"/>
    <w:rsid w:val="00022088"/>
    <w:rsid w:val="000227E1"/>
    <w:rsid w:val="000233C7"/>
    <w:rsid w:val="00023807"/>
    <w:rsid w:val="0002398E"/>
    <w:rsid w:val="00023F86"/>
    <w:rsid w:val="00024210"/>
    <w:rsid w:val="000243BF"/>
    <w:rsid w:val="00025218"/>
    <w:rsid w:val="00025AC6"/>
    <w:rsid w:val="00025B14"/>
    <w:rsid w:val="00025C01"/>
    <w:rsid w:val="00025EC6"/>
    <w:rsid w:val="0002625D"/>
    <w:rsid w:val="0002635B"/>
    <w:rsid w:val="00026701"/>
    <w:rsid w:val="00026D6D"/>
    <w:rsid w:val="00026DB4"/>
    <w:rsid w:val="00027591"/>
    <w:rsid w:val="00027772"/>
    <w:rsid w:val="00027AE1"/>
    <w:rsid w:val="00027C47"/>
    <w:rsid w:val="00027C7C"/>
    <w:rsid w:val="000301A4"/>
    <w:rsid w:val="000302BB"/>
    <w:rsid w:val="00030571"/>
    <w:rsid w:val="00030572"/>
    <w:rsid w:val="0003096F"/>
    <w:rsid w:val="00030D46"/>
    <w:rsid w:val="00031FF3"/>
    <w:rsid w:val="000323C1"/>
    <w:rsid w:val="0003278D"/>
    <w:rsid w:val="00032D44"/>
    <w:rsid w:val="0003344A"/>
    <w:rsid w:val="0003387F"/>
    <w:rsid w:val="000338AF"/>
    <w:rsid w:val="00033BB0"/>
    <w:rsid w:val="000340B8"/>
    <w:rsid w:val="0003421D"/>
    <w:rsid w:val="00034CA6"/>
    <w:rsid w:val="000350FA"/>
    <w:rsid w:val="000358EE"/>
    <w:rsid w:val="00035BE9"/>
    <w:rsid w:val="00035E73"/>
    <w:rsid w:val="000361BD"/>
    <w:rsid w:val="00036441"/>
    <w:rsid w:val="00036B6C"/>
    <w:rsid w:val="00036FD8"/>
    <w:rsid w:val="000372CE"/>
    <w:rsid w:val="00037668"/>
    <w:rsid w:val="0003782B"/>
    <w:rsid w:val="00037890"/>
    <w:rsid w:val="00037B11"/>
    <w:rsid w:val="00037FE4"/>
    <w:rsid w:val="00040037"/>
    <w:rsid w:val="00040859"/>
    <w:rsid w:val="00040913"/>
    <w:rsid w:val="00040DCB"/>
    <w:rsid w:val="00041469"/>
    <w:rsid w:val="0004178B"/>
    <w:rsid w:val="00041B99"/>
    <w:rsid w:val="00041F89"/>
    <w:rsid w:val="000428DC"/>
    <w:rsid w:val="00042EDB"/>
    <w:rsid w:val="00042F7C"/>
    <w:rsid w:val="00043222"/>
    <w:rsid w:val="0004361A"/>
    <w:rsid w:val="00044128"/>
    <w:rsid w:val="0004445A"/>
    <w:rsid w:val="000447A0"/>
    <w:rsid w:val="00045460"/>
    <w:rsid w:val="00045942"/>
    <w:rsid w:val="00045AF9"/>
    <w:rsid w:val="000461E9"/>
    <w:rsid w:val="00046227"/>
    <w:rsid w:val="00046546"/>
    <w:rsid w:val="000469FF"/>
    <w:rsid w:val="00046CAF"/>
    <w:rsid w:val="00046F94"/>
    <w:rsid w:val="00047BA8"/>
    <w:rsid w:val="00047CB6"/>
    <w:rsid w:val="00047E47"/>
    <w:rsid w:val="00047F98"/>
    <w:rsid w:val="000509A3"/>
    <w:rsid w:val="00050C84"/>
    <w:rsid w:val="0005128B"/>
    <w:rsid w:val="000514A6"/>
    <w:rsid w:val="000515BE"/>
    <w:rsid w:val="000528D6"/>
    <w:rsid w:val="00052CB0"/>
    <w:rsid w:val="00052ECF"/>
    <w:rsid w:val="00052F5A"/>
    <w:rsid w:val="00052FF0"/>
    <w:rsid w:val="00053241"/>
    <w:rsid w:val="0005326C"/>
    <w:rsid w:val="00053B70"/>
    <w:rsid w:val="00053D5D"/>
    <w:rsid w:val="00053E36"/>
    <w:rsid w:val="00053ED5"/>
    <w:rsid w:val="00054204"/>
    <w:rsid w:val="00055CDD"/>
    <w:rsid w:val="00055F24"/>
    <w:rsid w:val="0005609C"/>
    <w:rsid w:val="00056573"/>
    <w:rsid w:val="00057249"/>
    <w:rsid w:val="00057437"/>
    <w:rsid w:val="00057982"/>
    <w:rsid w:val="00057DF5"/>
    <w:rsid w:val="00060B73"/>
    <w:rsid w:val="00060BD2"/>
    <w:rsid w:val="00060D72"/>
    <w:rsid w:val="00060DB9"/>
    <w:rsid w:val="00060E75"/>
    <w:rsid w:val="00060E88"/>
    <w:rsid w:val="0006132A"/>
    <w:rsid w:val="0006158C"/>
    <w:rsid w:val="000618CE"/>
    <w:rsid w:val="00061BED"/>
    <w:rsid w:val="00061C88"/>
    <w:rsid w:val="00062423"/>
    <w:rsid w:val="0006251C"/>
    <w:rsid w:val="00062AD4"/>
    <w:rsid w:val="00062BDB"/>
    <w:rsid w:val="00062C89"/>
    <w:rsid w:val="00062F34"/>
    <w:rsid w:val="0006316F"/>
    <w:rsid w:val="00063889"/>
    <w:rsid w:val="0006399C"/>
    <w:rsid w:val="000639D4"/>
    <w:rsid w:val="00063A7C"/>
    <w:rsid w:val="00063C2E"/>
    <w:rsid w:val="0006430E"/>
    <w:rsid w:val="00064406"/>
    <w:rsid w:val="00064581"/>
    <w:rsid w:val="00064602"/>
    <w:rsid w:val="00065601"/>
    <w:rsid w:val="0006567F"/>
    <w:rsid w:val="00066808"/>
    <w:rsid w:val="00066898"/>
    <w:rsid w:val="000668D4"/>
    <w:rsid w:val="00066B60"/>
    <w:rsid w:val="00066D41"/>
    <w:rsid w:val="0006700C"/>
    <w:rsid w:val="0006765E"/>
    <w:rsid w:val="000678B4"/>
    <w:rsid w:val="00067919"/>
    <w:rsid w:val="00067922"/>
    <w:rsid w:val="00067A70"/>
    <w:rsid w:val="000703D7"/>
    <w:rsid w:val="00070861"/>
    <w:rsid w:val="00070AC8"/>
    <w:rsid w:val="00071316"/>
    <w:rsid w:val="00071F81"/>
    <w:rsid w:val="000721CB"/>
    <w:rsid w:val="000722AA"/>
    <w:rsid w:val="00072359"/>
    <w:rsid w:val="000726A2"/>
    <w:rsid w:val="00072A9B"/>
    <w:rsid w:val="00073F06"/>
    <w:rsid w:val="00074146"/>
    <w:rsid w:val="00074366"/>
    <w:rsid w:val="000743C4"/>
    <w:rsid w:val="000749AC"/>
    <w:rsid w:val="00074F89"/>
    <w:rsid w:val="00074FC8"/>
    <w:rsid w:val="0007546C"/>
    <w:rsid w:val="0007574D"/>
    <w:rsid w:val="00076A77"/>
    <w:rsid w:val="00077251"/>
    <w:rsid w:val="000772AC"/>
    <w:rsid w:val="000772B7"/>
    <w:rsid w:val="0007754D"/>
    <w:rsid w:val="000775E5"/>
    <w:rsid w:val="00077C93"/>
    <w:rsid w:val="0008009E"/>
    <w:rsid w:val="00080132"/>
    <w:rsid w:val="0008024C"/>
    <w:rsid w:val="0008029D"/>
    <w:rsid w:val="00080495"/>
    <w:rsid w:val="000805B8"/>
    <w:rsid w:val="00081082"/>
    <w:rsid w:val="00081556"/>
    <w:rsid w:val="0008304F"/>
    <w:rsid w:val="000838D9"/>
    <w:rsid w:val="000838F2"/>
    <w:rsid w:val="00083906"/>
    <w:rsid w:val="0008391F"/>
    <w:rsid w:val="00083F9C"/>
    <w:rsid w:val="00084217"/>
    <w:rsid w:val="00084A5F"/>
    <w:rsid w:val="00084BCF"/>
    <w:rsid w:val="00084CCC"/>
    <w:rsid w:val="0008556A"/>
    <w:rsid w:val="00085ABB"/>
    <w:rsid w:val="00085C1E"/>
    <w:rsid w:val="00085E3B"/>
    <w:rsid w:val="00086BE9"/>
    <w:rsid w:val="00086E4A"/>
    <w:rsid w:val="000870BE"/>
    <w:rsid w:val="000871AC"/>
    <w:rsid w:val="00087551"/>
    <w:rsid w:val="00087FF8"/>
    <w:rsid w:val="000903D2"/>
    <w:rsid w:val="000907C5"/>
    <w:rsid w:val="00090AD2"/>
    <w:rsid w:val="000910D3"/>
    <w:rsid w:val="000911BD"/>
    <w:rsid w:val="00091A70"/>
    <w:rsid w:val="00091D01"/>
    <w:rsid w:val="00092257"/>
    <w:rsid w:val="00092919"/>
    <w:rsid w:val="00092BC8"/>
    <w:rsid w:val="0009303F"/>
    <w:rsid w:val="00093939"/>
    <w:rsid w:val="00093A5A"/>
    <w:rsid w:val="00093E79"/>
    <w:rsid w:val="000941E3"/>
    <w:rsid w:val="00094340"/>
    <w:rsid w:val="0009465B"/>
    <w:rsid w:val="00094852"/>
    <w:rsid w:val="00094EB2"/>
    <w:rsid w:val="00095216"/>
    <w:rsid w:val="000952B1"/>
    <w:rsid w:val="00095507"/>
    <w:rsid w:val="000956DB"/>
    <w:rsid w:val="00095B73"/>
    <w:rsid w:val="00095C7B"/>
    <w:rsid w:val="00095D71"/>
    <w:rsid w:val="00096556"/>
    <w:rsid w:val="000966E9"/>
    <w:rsid w:val="00096905"/>
    <w:rsid w:val="00096D1C"/>
    <w:rsid w:val="00096DC6"/>
    <w:rsid w:val="000970F1"/>
    <w:rsid w:val="000974A7"/>
    <w:rsid w:val="00097DC0"/>
    <w:rsid w:val="000A0878"/>
    <w:rsid w:val="000A0F84"/>
    <w:rsid w:val="000A10F9"/>
    <w:rsid w:val="000A1168"/>
    <w:rsid w:val="000A1368"/>
    <w:rsid w:val="000A1409"/>
    <w:rsid w:val="000A14D1"/>
    <w:rsid w:val="000A1A7E"/>
    <w:rsid w:val="000A1C9D"/>
    <w:rsid w:val="000A1CFF"/>
    <w:rsid w:val="000A1F8C"/>
    <w:rsid w:val="000A268E"/>
    <w:rsid w:val="000A2C81"/>
    <w:rsid w:val="000A3E29"/>
    <w:rsid w:val="000A3FD1"/>
    <w:rsid w:val="000A4F20"/>
    <w:rsid w:val="000A5792"/>
    <w:rsid w:val="000A5AE5"/>
    <w:rsid w:val="000A5B04"/>
    <w:rsid w:val="000A62D7"/>
    <w:rsid w:val="000A662E"/>
    <w:rsid w:val="000A664D"/>
    <w:rsid w:val="000A69B3"/>
    <w:rsid w:val="000A6B33"/>
    <w:rsid w:val="000A6F4D"/>
    <w:rsid w:val="000A752F"/>
    <w:rsid w:val="000A769C"/>
    <w:rsid w:val="000B0027"/>
    <w:rsid w:val="000B0372"/>
    <w:rsid w:val="000B0768"/>
    <w:rsid w:val="000B1896"/>
    <w:rsid w:val="000B365B"/>
    <w:rsid w:val="000B3959"/>
    <w:rsid w:val="000B3AC1"/>
    <w:rsid w:val="000B47AD"/>
    <w:rsid w:val="000B5055"/>
    <w:rsid w:val="000B5963"/>
    <w:rsid w:val="000B5A04"/>
    <w:rsid w:val="000B5B5C"/>
    <w:rsid w:val="000B5E55"/>
    <w:rsid w:val="000B60A5"/>
    <w:rsid w:val="000B69A2"/>
    <w:rsid w:val="000B6F11"/>
    <w:rsid w:val="000B7409"/>
    <w:rsid w:val="000B76FC"/>
    <w:rsid w:val="000B78EF"/>
    <w:rsid w:val="000B7FA9"/>
    <w:rsid w:val="000C045A"/>
    <w:rsid w:val="000C090D"/>
    <w:rsid w:val="000C090E"/>
    <w:rsid w:val="000C0CA8"/>
    <w:rsid w:val="000C0E81"/>
    <w:rsid w:val="000C15A9"/>
    <w:rsid w:val="000C18CF"/>
    <w:rsid w:val="000C1BC9"/>
    <w:rsid w:val="000C204A"/>
    <w:rsid w:val="000C21F4"/>
    <w:rsid w:val="000C2497"/>
    <w:rsid w:val="000C252C"/>
    <w:rsid w:val="000C2ED8"/>
    <w:rsid w:val="000C3ADF"/>
    <w:rsid w:val="000C3D51"/>
    <w:rsid w:val="000C42F2"/>
    <w:rsid w:val="000C4A24"/>
    <w:rsid w:val="000C4A7A"/>
    <w:rsid w:val="000C513C"/>
    <w:rsid w:val="000C5267"/>
    <w:rsid w:val="000C53B9"/>
    <w:rsid w:val="000C5404"/>
    <w:rsid w:val="000C5BCC"/>
    <w:rsid w:val="000C5F56"/>
    <w:rsid w:val="000C61DC"/>
    <w:rsid w:val="000C6257"/>
    <w:rsid w:val="000C675A"/>
    <w:rsid w:val="000C7206"/>
    <w:rsid w:val="000C7707"/>
    <w:rsid w:val="000C7BCC"/>
    <w:rsid w:val="000C7BFF"/>
    <w:rsid w:val="000D0442"/>
    <w:rsid w:val="000D058C"/>
    <w:rsid w:val="000D06D9"/>
    <w:rsid w:val="000D0AFB"/>
    <w:rsid w:val="000D0CD0"/>
    <w:rsid w:val="000D13A3"/>
    <w:rsid w:val="000D1CE4"/>
    <w:rsid w:val="000D30CF"/>
    <w:rsid w:val="000D32DD"/>
    <w:rsid w:val="000D399A"/>
    <w:rsid w:val="000D4874"/>
    <w:rsid w:val="000D4C22"/>
    <w:rsid w:val="000D4EFF"/>
    <w:rsid w:val="000D4FA3"/>
    <w:rsid w:val="000D50EE"/>
    <w:rsid w:val="000D5822"/>
    <w:rsid w:val="000D5BD9"/>
    <w:rsid w:val="000D5BE4"/>
    <w:rsid w:val="000D5BF8"/>
    <w:rsid w:val="000D6264"/>
    <w:rsid w:val="000D6267"/>
    <w:rsid w:val="000D655A"/>
    <w:rsid w:val="000D6E50"/>
    <w:rsid w:val="000D6F5C"/>
    <w:rsid w:val="000D7376"/>
    <w:rsid w:val="000D7383"/>
    <w:rsid w:val="000D73BC"/>
    <w:rsid w:val="000D793B"/>
    <w:rsid w:val="000D7E34"/>
    <w:rsid w:val="000E0581"/>
    <w:rsid w:val="000E09B9"/>
    <w:rsid w:val="000E0A74"/>
    <w:rsid w:val="000E0AD1"/>
    <w:rsid w:val="000E2066"/>
    <w:rsid w:val="000E268D"/>
    <w:rsid w:val="000E3556"/>
    <w:rsid w:val="000E3BAF"/>
    <w:rsid w:val="000E3F88"/>
    <w:rsid w:val="000E3FB0"/>
    <w:rsid w:val="000E426C"/>
    <w:rsid w:val="000E443C"/>
    <w:rsid w:val="000E445F"/>
    <w:rsid w:val="000E4C0D"/>
    <w:rsid w:val="000E4CFF"/>
    <w:rsid w:val="000E5710"/>
    <w:rsid w:val="000E59A2"/>
    <w:rsid w:val="000E5D99"/>
    <w:rsid w:val="000E5DCB"/>
    <w:rsid w:val="000E6355"/>
    <w:rsid w:val="000E72E2"/>
    <w:rsid w:val="000E7E84"/>
    <w:rsid w:val="000E7E9A"/>
    <w:rsid w:val="000F02C9"/>
    <w:rsid w:val="000F0313"/>
    <w:rsid w:val="000F06F7"/>
    <w:rsid w:val="000F24C5"/>
    <w:rsid w:val="000F2A75"/>
    <w:rsid w:val="000F2B4D"/>
    <w:rsid w:val="000F2F9E"/>
    <w:rsid w:val="000F32AA"/>
    <w:rsid w:val="000F3342"/>
    <w:rsid w:val="000F3A81"/>
    <w:rsid w:val="000F4156"/>
    <w:rsid w:val="000F441B"/>
    <w:rsid w:val="000F4FD0"/>
    <w:rsid w:val="000F4FDA"/>
    <w:rsid w:val="000F50B2"/>
    <w:rsid w:val="000F5403"/>
    <w:rsid w:val="000F6067"/>
    <w:rsid w:val="000F6BE7"/>
    <w:rsid w:val="000F737D"/>
    <w:rsid w:val="000F7B6A"/>
    <w:rsid w:val="000F7D19"/>
    <w:rsid w:val="000F7D37"/>
    <w:rsid w:val="00100139"/>
    <w:rsid w:val="0010025C"/>
    <w:rsid w:val="00100724"/>
    <w:rsid w:val="00100E51"/>
    <w:rsid w:val="001015C5"/>
    <w:rsid w:val="0010176C"/>
    <w:rsid w:val="001019CB"/>
    <w:rsid w:val="00101F7B"/>
    <w:rsid w:val="00102037"/>
    <w:rsid w:val="0010212B"/>
    <w:rsid w:val="0010252F"/>
    <w:rsid w:val="0010274C"/>
    <w:rsid w:val="00102BA6"/>
    <w:rsid w:val="00102E10"/>
    <w:rsid w:val="00102ECB"/>
    <w:rsid w:val="00104343"/>
    <w:rsid w:val="001046A7"/>
    <w:rsid w:val="00104715"/>
    <w:rsid w:val="001047A1"/>
    <w:rsid w:val="001047D9"/>
    <w:rsid w:val="0010487B"/>
    <w:rsid w:val="00104E50"/>
    <w:rsid w:val="00105229"/>
    <w:rsid w:val="001053AA"/>
    <w:rsid w:val="001057AC"/>
    <w:rsid w:val="001059F1"/>
    <w:rsid w:val="00105BE6"/>
    <w:rsid w:val="0010616D"/>
    <w:rsid w:val="001065F3"/>
    <w:rsid w:val="001067FA"/>
    <w:rsid w:val="00106929"/>
    <w:rsid w:val="00106CE9"/>
    <w:rsid w:val="00106ECE"/>
    <w:rsid w:val="00107AA5"/>
    <w:rsid w:val="0011020B"/>
    <w:rsid w:val="00110627"/>
    <w:rsid w:val="00110C24"/>
    <w:rsid w:val="00111132"/>
    <w:rsid w:val="001111D7"/>
    <w:rsid w:val="001112F6"/>
    <w:rsid w:val="001116CD"/>
    <w:rsid w:val="00111B7E"/>
    <w:rsid w:val="00112222"/>
    <w:rsid w:val="0011230B"/>
    <w:rsid w:val="00112C9B"/>
    <w:rsid w:val="00112D67"/>
    <w:rsid w:val="00112E53"/>
    <w:rsid w:val="001135DE"/>
    <w:rsid w:val="00113659"/>
    <w:rsid w:val="0011392D"/>
    <w:rsid w:val="001139E1"/>
    <w:rsid w:val="00113E1E"/>
    <w:rsid w:val="001148D1"/>
    <w:rsid w:val="001153B8"/>
    <w:rsid w:val="00115561"/>
    <w:rsid w:val="0011577B"/>
    <w:rsid w:val="00115DF5"/>
    <w:rsid w:val="00116419"/>
    <w:rsid w:val="001167A0"/>
    <w:rsid w:val="0011685C"/>
    <w:rsid w:val="00116999"/>
    <w:rsid w:val="00116D76"/>
    <w:rsid w:val="00117025"/>
    <w:rsid w:val="00117129"/>
    <w:rsid w:val="00117155"/>
    <w:rsid w:val="001173C5"/>
    <w:rsid w:val="0011756D"/>
    <w:rsid w:val="00117F54"/>
    <w:rsid w:val="00120364"/>
    <w:rsid w:val="00120423"/>
    <w:rsid w:val="00120521"/>
    <w:rsid w:val="00120B5D"/>
    <w:rsid w:val="00120BC6"/>
    <w:rsid w:val="00121031"/>
    <w:rsid w:val="00121093"/>
    <w:rsid w:val="00121747"/>
    <w:rsid w:val="00122D5B"/>
    <w:rsid w:val="00123E10"/>
    <w:rsid w:val="00124112"/>
    <w:rsid w:val="00124EA7"/>
    <w:rsid w:val="00124EB1"/>
    <w:rsid w:val="001254B2"/>
    <w:rsid w:val="00125B57"/>
    <w:rsid w:val="00126064"/>
    <w:rsid w:val="0012681E"/>
    <w:rsid w:val="00126A84"/>
    <w:rsid w:val="00127030"/>
    <w:rsid w:val="0012744C"/>
    <w:rsid w:val="00127473"/>
    <w:rsid w:val="0012748E"/>
    <w:rsid w:val="0012792E"/>
    <w:rsid w:val="0013024F"/>
    <w:rsid w:val="0013026A"/>
    <w:rsid w:val="0013031F"/>
    <w:rsid w:val="0013060C"/>
    <w:rsid w:val="001308C1"/>
    <w:rsid w:val="00130F1A"/>
    <w:rsid w:val="00131103"/>
    <w:rsid w:val="00131E34"/>
    <w:rsid w:val="0013201F"/>
    <w:rsid w:val="001320BA"/>
    <w:rsid w:val="00132C62"/>
    <w:rsid w:val="00132E2F"/>
    <w:rsid w:val="001334CC"/>
    <w:rsid w:val="0013381E"/>
    <w:rsid w:val="00133900"/>
    <w:rsid w:val="00133CAF"/>
    <w:rsid w:val="0013408F"/>
    <w:rsid w:val="001348A8"/>
    <w:rsid w:val="001354C1"/>
    <w:rsid w:val="00135A7A"/>
    <w:rsid w:val="00135D64"/>
    <w:rsid w:val="00135E49"/>
    <w:rsid w:val="001360AA"/>
    <w:rsid w:val="0013650A"/>
    <w:rsid w:val="0013652C"/>
    <w:rsid w:val="0013684F"/>
    <w:rsid w:val="00136EA8"/>
    <w:rsid w:val="00137151"/>
    <w:rsid w:val="001371AC"/>
    <w:rsid w:val="001372F5"/>
    <w:rsid w:val="001374F3"/>
    <w:rsid w:val="00137C43"/>
    <w:rsid w:val="00137C80"/>
    <w:rsid w:val="00140541"/>
    <w:rsid w:val="00140789"/>
    <w:rsid w:val="00140D63"/>
    <w:rsid w:val="00140E93"/>
    <w:rsid w:val="0014156D"/>
    <w:rsid w:val="00141787"/>
    <w:rsid w:val="00141C09"/>
    <w:rsid w:val="00141DF2"/>
    <w:rsid w:val="00141EAA"/>
    <w:rsid w:val="0014330A"/>
    <w:rsid w:val="00143373"/>
    <w:rsid w:val="001435DA"/>
    <w:rsid w:val="00143708"/>
    <w:rsid w:val="00143B7B"/>
    <w:rsid w:val="00143EFC"/>
    <w:rsid w:val="001443CA"/>
    <w:rsid w:val="00144575"/>
    <w:rsid w:val="00144BCA"/>
    <w:rsid w:val="00145527"/>
    <w:rsid w:val="00145EF7"/>
    <w:rsid w:val="00145F16"/>
    <w:rsid w:val="00146492"/>
    <w:rsid w:val="001464B3"/>
    <w:rsid w:val="001467B6"/>
    <w:rsid w:val="00146BFB"/>
    <w:rsid w:val="00147595"/>
    <w:rsid w:val="00147FDF"/>
    <w:rsid w:val="00150337"/>
    <w:rsid w:val="001503FF"/>
    <w:rsid w:val="00150F3D"/>
    <w:rsid w:val="00151145"/>
    <w:rsid w:val="001512F1"/>
    <w:rsid w:val="001514E9"/>
    <w:rsid w:val="00151605"/>
    <w:rsid w:val="001517E0"/>
    <w:rsid w:val="0015185F"/>
    <w:rsid w:val="001521B1"/>
    <w:rsid w:val="00152361"/>
    <w:rsid w:val="0015240D"/>
    <w:rsid w:val="00152A65"/>
    <w:rsid w:val="00152E6A"/>
    <w:rsid w:val="00153045"/>
    <w:rsid w:val="001539F3"/>
    <w:rsid w:val="00153D5C"/>
    <w:rsid w:val="00153E11"/>
    <w:rsid w:val="00153E3D"/>
    <w:rsid w:val="00153F09"/>
    <w:rsid w:val="001541D3"/>
    <w:rsid w:val="00154491"/>
    <w:rsid w:val="001547D1"/>
    <w:rsid w:val="00154828"/>
    <w:rsid w:val="00154A16"/>
    <w:rsid w:val="00154C02"/>
    <w:rsid w:val="00155857"/>
    <w:rsid w:val="00155A35"/>
    <w:rsid w:val="00156459"/>
    <w:rsid w:val="0015653B"/>
    <w:rsid w:val="00156BE5"/>
    <w:rsid w:val="00156E4D"/>
    <w:rsid w:val="001575FE"/>
    <w:rsid w:val="001578C1"/>
    <w:rsid w:val="00157951"/>
    <w:rsid w:val="00157BAC"/>
    <w:rsid w:val="00157D16"/>
    <w:rsid w:val="00160058"/>
    <w:rsid w:val="001601FA"/>
    <w:rsid w:val="0016030D"/>
    <w:rsid w:val="001605EC"/>
    <w:rsid w:val="00160A76"/>
    <w:rsid w:val="001610E6"/>
    <w:rsid w:val="00161279"/>
    <w:rsid w:val="00161377"/>
    <w:rsid w:val="00161C99"/>
    <w:rsid w:val="00161FA8"/>
    <w:rsid w:val="00162199"/>
    <w:rsid w:val="00162208"/>
    <w:rsid w:val="0016232A"/>
    <w:rsid w:val="001627E3"/>
    <w:rsid w:val="00162844"/>
    <w:rsid w:val="00162A23"/>
    <w:rsid w:val="00162BCE"/>
    <w:rsid w:val="00162EB8"/>
    <w:rsid w:val="001634A9"/>
    <w:rsid w:val="00163781"/>
    <w:rsid w:val="00163A34"/>
    <w:rsid w:val="00163E34"/>
    <w:rsid w:val="00163E4F"/>
    <w:rsid w:val="0016422F"/>
    <w:rsid w:val="001642AF"/>
    <w:rsid w:val="0016483A"/>
    <w:rsid w:val="00164898"/>
    <w:rsid w:val="00164AA6"/>
    <w:rsid w:val="00165382"/>
    <w:rsid w:val="001654C4"/>
    <w:rsid w:val="00165B15"/>
    <w:rsid w:val="00165B22"/>
    <w:rsid w:val="001663A7"/>
    <w:rsid w:val="001665C4"/>
    <w:rsid w:val="0016703C"/>
    <w:rsid w:val="001672F8"/>
    <w:rsid w:val="00167974"/>
    <w:rsid w:val="00170A7F"/>
    <w:rsid w:val="00170BE5"/>
    <w:rsid w:val="00170DD2"/>
    <w:rsid w:val="00171460"/>
    <w:rsid w:val="0017149F"/>
    <w:rsid w:val="001714B3"/>
    <w:rsid w:val="00171E23"/>
    <w:rsid w:val="00171FF0"/>
    <w:rsid w:val="00172487"/>
    <w:rsid w:val="001730B6"/>
    <w:rsid w:val="00173103"/>
    <w:rsid w:val="00173208"/>
    <w:rsid w:val="00173317"/>
    <w:rsid w:val="001733B1"/>
    <w:rsid w:val="001734B8"/>
    <w:rsid w:val="00173ABF"/>
    <w:rsid w:val="00174D10"/>
    <w:rsid w:val="00174D55"/>
    <w:rsid w:val="00174DDF"/>
    <w:rsid w:val="00175106"/>
    <w:rsid w:val="00175180"/>
    <w:rsid w:val="0017558F"/>
    <w:rsid w:val="001755AB"/>
    <w:rsid w:val="00176D17"/>
    <w:rsid w:val="00177405"/>
    <w:rsid w:val="0017769C"/>
    <w:rsid w:val="001776B6"/>
    <w:rsid w:val="001778B6"/>
    <w:rsid w:val="001803F3"/>
    <w:rsid w:val="00180FBB"/>
    <w:rsid w:val="00181041"/>
    <w:rsid w:val="00181737"/>
    <w:rsid w:val="001818CD"/>
    <w:rsid w:val="0018196E"/>
    <w:rsid w:val="00182900"/>
    <w:rsid w:val="00182A9B"/>
    <w:rsid w:val="00182B12"/>
    <w:rsid w:val="00182F46"/>
    <w:rsid w:val="001836EF"/>
    <w:rsid w:val="001837D5"/>
    <w:rsid w:val="00183EC6"/>
    <w:rsid w:val="00184134"/>
    <w:rsid w:val="001841A1"/>
    <w:rsid w:val="001857EB"/>
    <w:rsid w:val="001858FE"/>
    <w:rsid w:val="00185ACE"/>
    <w:rsid w:val="001865CB"/>
    <w:rsid w:val="00186811"/>
    <w:rsid w:val="001872D8"/>
    <w:rsid w:val="001877A2"/>
    <w:rsid w:val="00187D55"/>
    <w:rsid w:val="00187D8B"/>
    <w:rsid w:val="001901CE"/>
    <w:rsid w:val="00190259"/>
    <w:rsid w:val="001902C0"/>
    <w:rsid w:val="0019030B"/>
    <w:rsid w:val="00190462"/>
    <w:rsid w:val="001906AC"/>
    <w:rsid w:val="00190DAF"/>
    <w:rsid w:val="001911DD"/>
    <w:rsid w:val="00191529"/>
    <w:rsid w:val="0019266C"/>
    <w:rsid w:val="00192C8E"/>
    <w:rsid w:val="001931FE"/>
    <w:rsid w:val="0019348E"/>
    <w:rsid w:val="00193A6A"/>
    <w:rsid w:val="00193F1F"/>
    <w:rsid w:val="00194CF7"/>
    <w:rsid w:val="00195727"/>
    <w:rsid w:val="00195CE4"/>
    <w:rsid w:val="00195D44"/>
    <w:rsid w:val="001961C9"/>
    <w:rsid w:val="0019629C"/>
    <w:rsid w:val="00196312"/>
    <w:rsid w:val="00196919"/>
    <w:rsid w:val="00196A77"/>
    <w:rsid w:val="00196BAA"/>
    <w:rsid w:val="00197262"/>
    <w:rsid w:val="00197574"/>
    <w:rsid w:val="0019770B"/>
    <w:rsid w:val="001977CB"/>
    <w:rsid w:val="00197E65"/>
    <w:rsid w:val="001A0088"/>
    <w:rsid w:val="001A0345"/>
    <w:rsid w:val="001A100F"/>
    <w:rsid w:val="001A1055"/>
    <w:rsid w:val="001A122E"/>
    <w:rsid w:val="001A1A69"/>
    <w:rsid w:val="001A27B3"/>
    <w:rsid w:val="001A2C83"/>
    <w:rsid w:val="001A2F48"/>
    <w:rsid w:val="001A3F3D"/>
    <w:rsid w:val="001A4123"/>
    <w:rsid w:val="001A4602"/>
    <w:rsid w:val="001A494C"/>
    <w:rsid w:val="001A5159"/>
    <w:rsid w:val="001A55DA"/>
    <w:rsid w:val="001A572A"/>
    <w:rsid w:val="001A5E9B"/>
    <w:rsid w:val="001A61E6"/>
    <w:rsid w:val="001A622D"/>
    <w:rsid w:val="001A66C8"/>
    <w:rsid w:val="001A6AC4"/>
    <w:rsid w:val="001A72C6"/>
    <w:rsid w:val="001A77D5"/>
    <w:rsid w:val="001A781E"/>
    <w:rsid w:val="001B060A"/>
    <w:rsid w:val="001B0D2B"/>
    <w:rsid w:val="001B0DBB"/>
    <w:rsid w:val="001B0DC9"/>
    <w:rsid w:val="001B137B"/>
    <w:rsid w:val="001B156B"/>
    <w:rsid w:val="001B197F"/>
    <w:rsid w:val="001B1CDB"/>
    <w:rsid w:val="001B1EE0"/>
    <w:rsid w:val="001B26DE"/>
    <w:rsid w:val="001B2C25"/>
    <w:rsid w:val="001B2DAA"/>
    <w:rsid w:val="001B3024"/>
    <w:rsid w:val="001B319D"/>
    <w:rsid w:val="001B34E4"/>
    <w:rsid w:val="001B4294"/>
    <w:rsid w:val="001B4488"/>
    <w:rsid w:val="001B4AF2"/>
    <w:rsid w:val="001B4B2A"/>
    <w:rsid w:val="001B4BBA"/>
    <w:rsid w:val="001B5676"/>
    <w:rsid w:val="001B56AD"/>
    <w:rsid w:val="001B583D"/>
    <w:rsid w:val="001B59A9"/>
    <w:rsid w:val="001B6477"/>
    <w:rsid w:val="001B6C67"/>
    <w:rsid w:val="001B6D4F"/>
    <w:rsid w:val="001B7218"/>
    <w:rsid w:val="001B7243"/>
    <w:rsid w:val="001B74E8"/>
    <w:rsid w:val="001B7556"/>
    <w:rsid w:val="001B76BB"/>
    <w:rsid w:val="001B785B"/>
    <w:rsid w:val="001B78B2"/>
    <w:rsid w:val="001B795F"/>
    <w:rsid w:val="001B7E1D"/>
    <w:rsid w:val="001C066A"/>
    <w:rsid w:val="001C067B"/>
    <w:rsid w:val="001C1703"/>
    <w:rsid w:val="001C191A"/>
    <w:rsid w:val="001C1B19"/>
    <w:rsid w:val="001C22E4"/>
    <w:rsid w:val="001C345A"/>
    <w:rsid w:val="001C3BE4"/>
    <w:rsid w:val="001C3E07"/>
    <w:rsid w:val="001C411D"/>
    <w:rsid w:val="001C463B"/>
    <w:rsid w:val="001C4B07"/>
    <w:rsid w:val="001C4F7C"/>
    <w:rsid w:val="001C5A45"/>
    <w:rsid w:val="001C6A58"/>
    <w:rsid w:val="001C6F9E"/>
    <w:rsid w:val="001C6FB7"/>
    <w:rsid w:val="001C78B5"/>
    <w:rsid w:val="001C795E"/>
    <w:rsid w:val="001C7C55"/>
    <w:rsid w:val="001C7E64"/>
    <w:rsid w:val="001D01AE"/>
    <w:rsid w:val="001D0822"/>
    <w:rsid w:val="001D08EB"/>
    <w:rsid w:val="001D0ADD"/>
    <w:rsid w:val="001D0D28"/>
    <w:rsid w:val="001D13B9"/>
    <w:rsid w:val="001D192F"/>
    <w:rsid w:val="001D1B48"/>
    <w:rsid w:val="001D30B6"/>
    <w:rsid w:val="001D31B8"/>
    <w:rsid w:val="001D3416"/>
    <w:rsid w:val="001D3755"/>
    <w:rsid w:val="001D37BF"/>
    <w:rsid w:val="001D37EA"/>
    <w:rsid w:val="001D37EF"/>
    <w:rsid w:val="001D439B"/>
    <w:rsid w:val="001D47D4"/>
    <w:rsid w:val="001D519F"/>
    <w:rsid w:val="001D5675"/>
    <w:rsid w:val="001D661B"/>
    <w:rsid w:val="001D6702"/>
    <w:rsid w:val="001D6884"/>
    <w:rsid w:val="001D6C05"/>
    <w:rsid w:val="001D6D95"/>
    <w:rsid w:val="001D7E1A"/>
    <w:rsid w:val="001E062F"/>
    <w:rsid w:val="001E06E6"/>
    <w:rsid w:val="001E07E5"/>
    <w:rsid w:val="001E08C0"/>
    <w:rsid w:val="001E0D7F"/>
    <w:rsid w:val="001E0EEB"/>
    <w:rsid w:val="001E11A0"/>
    <w:rsid w:val="001E14E8"/>
    <w:rsid w:val="001E164B"/>
    <w:rsid w:val="001E1C22"/>
    <w:rsid w:val="001E219C"/>
    <w:rsid w:val="001E2578"/>
    <w:rsid w:val="001E2658"/>
    <w:rsid w:val="001E2741"/>
    <w:rsid w:val="001E2A14"/>
    <w:rsid w:val="001E2B2C"/>
    <w:rsid w:val="001E395E"/>
    <w:rsid w:val="001E399C"/>
    <w:rsid w:val="001E3B82"/>
    <w:rsid w:val="001E3EFE"/>
    <w:rsid w:val="001E471D"/>
    <w:rsid w:val="001E47A2"/>
    <w:rsid w:val="001E47BC"/>
    <w:rsid w:val="001E49BE"/>
    <w:rsid w:val="001E4FE4"/>
    <w:rsid w:val="001E52D4"/>
    <w:rsid w:val="001E5477"/>
    <w:rsid w:val="001E5CC6"/>
    <w:rsid w:val="001E6B87"/>
    <w:rsid w:val="001E6D63"/>
    <w:rsid w:val="001E6FDA"/>
    <w:rsid w:val="001E7ABB"/>
    <w:rsid w:val="001E7C07"/>
    <w:rsid w:val="001E7D41"/>
    <w:rsid w:val="001F052B"/>
    <w:rsid w:val="001F0665"/>
    <w:rsid w:val="001F08B3"/>
    <w:rsid w:val="001F0ADC"/>
    <w:rsid w:val="001F1096"/>
    <w:rsid w:val="001F1216"/>
    <w:rsid w:val="001F17CB"/>
    <w:rsid w:val="001F192D"/>
    <w:rsid w:val="001F19D8"/>
    <w:rsid w:val="001F19E9"/>
    <w:rsid w:val="001F215A"/>
    <w:rsid w:val="001F2BF1"/>
    <w:rsid w:val="001F2F07"/>
    <w:rsid w:val="001F4619"/>
    <w:rsid w:val="001F4662"/>
    <w:rsid w:val="001F46E6"/>
    <w:rsid w:val="001F46FD"/>
    <w:rsid w:val="001F4779"/>
    <w:rsid w:val="001F4F0F"/>
    <w:rsid w:val="001F67A3"/>
    <w:rsid w:val="001F6B06"/>
    <w:rsid w:val="001F737F"/>
    <w:rsid w:val="001F7A18"/>
    <w:rsid w:val="001F7BCB"/>
    <w:rsid w:val="0020059E"/>
    <w:rsid w:val="002015E6"/>
    <w:rsid w:val="00201661"/>
    <w:rsid w:val="002017A2"/>
    <w:rsid w:val="002022F6"/>
    <w:rsid w:val="00202687"/>
    <w:rsid w:val="00202913"/>
    <w:rsid w:val="00202EF6"/>
    <w:rsid w:val="002032CE"/>
    <w:rsid w:val="00203A96"/>
    <w:rsid w:val="00203CAE"/>
    <w:rsid w:val="00203DA2"/>
    <w:rsid w:val="0020432D"/>
    <w:rsid w:val="00204DBC"/>
    <w:rsid w:val="002051E9"/>
    <w:rsid w:val="00205762"/>
    <w:rsid w:val="0020599C"/>
    <w:rsid w:val="00205B7A"/>
    <w:rsid w:val="002065EB"/>
    <w:rsid w:val="00207220"/>
    <w:rsid w:val="0020780E"/>
    <w:rsid w:val="002079A4"/>
    <w:rsid w:val="00207AC0"/>
    <w:rsid w:val="00207D02"/>
    <w:rsid w:val="00207E20"/>
    <w:rsid w:val="002100B7"/>
    <w:rsid w:val="00210172"/>
    <w:rsid w:val="002102CA"/>
    <w:rsid w:val="0021086A"/>
    <w:rsid w:val="00210988"/>
    <w:rsid w:val="00210F18"/>
    <w:rsid w:val="00211693"/>
    <w:rsid w:val="0021174F"/>
    <w:rsid w:val="0021179D"/>
    <w:rsid w:val="00211EA9"/>
    <w:rsid w:val="00212260"/>
    <w:rsid w:val="0021234D"/>
    <w:rsid w:val="002127D9"/>
    <w:rsid w:val="00212A35"/>
    <w:rsid w:val="00212C3C"/>
    <w:rsid w:val="00212D4D"/>
    <w:rsid w:val="00212E15"/>
    <w:rsid w:val="00213A78"/>
    <w:rsid w:val="00214240"/>
    <w:rsid w:val="002144C0"/>
    <w:rsid w:val="002146C7"/>
    <w:rsid w:val="00214711"/>
    <w:rsid w:val="00214AE2"/>
    <w:rsid w:val="00214BB1"/>
    <w:rsid w:val="00214FF6"/>
    <w:rsid w:val="00215532"/>
    <w:rsid w:val="00215569"/>
    <w:rsid w:val="00215CBC"/>
    <w:rsid w:val="0021625A"/>
    <w:rsid w:val="0021649A"/>
    <w:rsid w:val="00216D91"/>
    <w:rsid w:val="002170D8"/>
    <w:rsid w:val="00217A45"/>
    <w:rsid w:val="00217C8A"/>
    <w:rsid w:val="00217CEC"/>
    <w:rsid w:val="00217D4F"/>
    <w:rsid w:val="002200CF"/>
    <w:rsid w:val="002206F9"/>
    <w:rsid w:val="00220E71"/>
    <w:rsid w:val="00220EDC"/>
    <w:rsid w:val="00220F78"/>
    <w:rsid w:val="0022102A"/>
    <w:rsid w:val="002212E4"/>
    <w:rsid w:val="00221442"/>
    <w:rsid w:val="00222548"/>
    <w:rsid w:val="0022259C"/>
    <w:rsid w:val="0022265B"/>
    <w:rsid w:val="002227CB"/>
    <w:rsid w:val="00222803"/>
    <w:rsid w:val="002228C1"/>
    <w:rsid w:val="00222F59"/>
    <w:rsid w:val="0022326A"/>
    <w:rsid w:val="00223C48"/>
    <w:rsid w:val="0022482C"/>
    <w:rsid w:val="00224A97"/>
    <w:rsid w:val="00225248"/>
    <w:rsid w:val="00225A37"/>
    <w:rsid w:val="00226D8B"/>
    <w:rsid w:val="0022710F"/>
    <w:rsid w:val="0022727A"/>
    <w:rsid w:val="002273CE"/>
    <w:rsid w:val="002273F1"/>
    <w:rsid w:val="00227D81"/>
    <w:rsid w:val="00230FF5"/>
    <w:rsid w:val="00231210"/>
    <w:rsid w:val="002312F7"/>
    <w:rsid w:val="002317FD"/>
    <w:rsid w:val="00231B6D"/>
    <w:rsid w:val="00232289"/>
    <w:rsid w:val="002325F8"/>
    <w:rsid w:val="00232656"/>
    <w:rsid w:val="00232C44"/>
    <w:rsid w:val="00232CD0"/>
    <w:rsid w:val="00232CDE"/>
    <w:rsid w:val="00233194"/>
    <w:rsid w:val="002333CB"/>
    <w:rsid w:val="0023347C"/>
    <w:rsid w:val="002334FD"/>
    <w:rsid w:val="00233FA5"/>
    <w:rsid w:val="0023429E"/>
    <w:rsid w:val="0023431E"/>
    <w:rsid w:val="00234346"/>
    <w:rsid w:val="00234D8C"/>
    <w:rsid w:val="00234D8F"/>
    <w:rsid w:val="0023504C"/>
    <w:rsid w:val="00235478"/>
    <w:rsid w:val="00235586"/>
    <w:rsid w:val="002355AA"/>
    <w:rsid w:val="00235D80"/>
    <w:rsid w:val="00236219"/>
    <w:rsid w:val="0023682F"/>
    <w:rsid w:val="00236E69"/>
    <w:rsid w:val="00236F64"/>
    <w:rsid w:val="0023715C"/>
    <w:rsid w:val="00237428"/>
    <w:rsid w:val="00237A8E"/>
    <w:rsid w:val="00237C92"/>
    <w:rsid w:val="00237E14"/>
    <w:rsid w:val="00237E2A"/>
    <w:rsid w:val="00237F8A"/>
    <w:rsid w:val="002401EA"/>
    <w:rsid w:val="00240A62"/>
    <w:rsid w:val="00240A6E"/>
    <w:rsid w:val="00240EE5"/>
    <w:rsid w:val="002410CE"/>
    <w:rsid w:val="00241270"/>
    <w:rsid w:val="0024135A"/>
    <w:rsid w:val="0024233B"/>
    <w:rsid w:val="00242673"/>
    <w:rsid w:val="002429DF"/>
    <w:rsid w:val="00242B7A"/>
    <w:rsid w:val="00242FBE"/>
    <w:rsid w:val="00243606"/>
    <w:rsid w:val="0024379E"/>
    <w:rsid w:val="002438C5"/>
    <w:rsid w:val="00243DF6"/>
    <w:rsid w:val="00243FE8"/>
    <w:rsid w:val="0024402B"/>
    <w:rsid w:val="002440A8"/>
    <w:rsid w:val="0024485A"/>
    <w:rsid w:val="00244D69"/>
    <w:rsid w:val="00245110"/>
    <w:rsid w:val="002452C1"/>
    <w:rsid w:val="00245412"/>
    <w:rsid w:val="00245A1D"/>
    <w:rsid w:val="0024618A"/>
    <w:rsid w:val="002469AD"/>
    <w:rsid w:val="00246B98"/>
    <w:rsid w:val="00246BB1"/>
    <w:rsid w:val="00246F12"/>
    <w:rsid w:val="00247827"/>
    <w:rsid w:val="00247D49"/>
    <w:rsid w:val="00247EA5"/>
    <w:rsid w:val="002513CB"/>
    <w:rsid w:val="00251C40"/>
    <w:rsid w:val="00251D71"/>
    <w:rsid w:val="0025241C"/>
    <w:rsid w:val="00252932"/>
    <w:rsid w:val="00252BD8"/>
    <w:rsid w:val="00252ED2"/>
    <w:rsid w:val="002533CB"/>
    <w:rsid w:val="00253547"/>
    <w:rsid w:val="00253F32"/>
    <w:rsid w:val="00254AEA"/>
    <w:rsid w:val="00255319"/>
    <w:rsid w:val="002559B2"/>
    <w:rsid w:val="00255A96"/>
    <w:rsid w:val="00255AB2"/>
    <w:rsid w:val="00255FC7"/>
    <w:rsid w:val="002562BF"/>
    <w:rsid w:val="0025692B"/>
    <w:rsid w:val="00256A64"/>
    <w:rsid w:val="002571CC"/>
    <w:rsid w:val="0025770E"/>
    <w:rsid w:val="00257AE2"/>
    <w:rsid w:val="00257D05"/>
    <w:rsid w:val="00257FE5"/>
    <w:rsid w:val="002606FC"/>
    <w:rsid w:val="00260768"/>
    <w:rsid w:val="00260C8E"/>
    <w:rsid w:val="00260EEB"/>
    <w:rsid w:val="00262671"/>
    <w:rsid w:val="00262A21"/>
    <w:rsid w:val="00262A2D"/>
    <w:rsid w:val="00262BBF"/>
    <w:rsid w:val="00262C06"/>
    <w:rsid w:val="0026351B"/>
    <w:rsid w:val="00263837"/>
    <w:rsid w:val="002639FE"/>
    <w:rsid w:val="00264279"/>
    <w:rsid w:val="0026455A"/>
    <w:rsid w:val="00264834"/>
    <w:rsid w:val="00264D3E"/>
    <w:rsid w:val="0026517E"/>
    <w:rsid w:val="002657A7"/>
    <w:rsid w:val="002657C8"/>
    <w:rsid w:val="00265CAA"/>
    <w:rsid w:val="002661AE"/>
    <w:rsid w:val="00266255"/>
    <w:rsid w:val="0026669C"/>
    <w:rsid w:val="002666C2"/>
    <w:rsid w:val="00266A72"/>
    <w:rsid w:val="00266AB5"/>
    <w:rsid w:val="00266B20"/>
    <w:rsid w:val="00266D29"/>
    <w:rsid w:val="002671EA"/>
    <w:rsid w:val="002675DA"/>
    <w:rsid w:val="002678B5"/>
    <w:rsid w:val="002679B7"/>
    <w:rsid w:val="00270177"/>
    <w:rsid w:val="00270736"/>
    <w:rsid w:val="002707FF"/>
    <w:rsid w:val="00270974"/>
    <w:rsid w:val="00270AFE"/>
    <w:rsid w:val="00270FB9"/>
    <w:rsid w:val="002718A4"/>
    <w:rsid w:val="002718D9"/>
    <w:rsid w:val="00271C0A"/>
    <w:rsid w:val="00271C8F"/>
    <w:rsid w:val="002721B7"/>
    <w:rsid w:val="002726EE"/>
    <w:rsid w:val="002729C4"/>
    <w:rsid w:val="00272A41"/>
    <w:rsid w:val="00272AAE"/>
    <w:rsid w:val="00272C06"/>
    <w:rsid w:val="002736BA"/>
    <w:rsid w:val="00273EE3"/>
    <w:rsid w:val="00273F8A"/>
    <w:rsid w:val="00273FBE"/>
    <w:rsid w:val="00274365"/>
    <w:rsid w:val="00274ACD"/>
    <w:rsid w:val="00274CD2"/>
    <w:rsid w:val="00275223"/>
    <w:rsid w:val="0027524F"/>
    <w:rsid w:val="002753B1"/>
    <w:rsid w:val="002755C1"/>
    <w:rsid w:val="002755D3"/>
    <w:rsid w:val="0027562A"/>
    <w:rsid w:val="002759D3"/>
    <w:rsid w:val="002767E2"/>
    <w:rsid w:val="002767FC"/>
    <w:rsid w:val="00276CCA"/>
    <w:rsid w:val="00276EB3"/>
    <w:rsid w:val="00277F8B"/>
    <w:rsid w:val="0028073F"/>
    <w:rsid w:val="00280C41"/>
    <w:rsid w:val="00281100"/>
    <w:rsid w:val="002815A2"/>
    <w:rsid w:val="00281C49"/>
    <w:rsid w:val="00281C6E"/>
    <w:rsid w:val="00281CC2"/>
    <w:rsid w:val="002821ED"/>
    <w:rsid w:val="0028277C"/>
    <w:rsid w:val="00282CF6"/>
    <w:rsid w:val="00282D9E"/>
    <w:rsid w:val="00282E1E"/>
    <w:rsid w:val="0028367A"/>
    <w:rsid w:val="00283BD8"/>
    <w:rsid w:val="0028431A"/>
    <w:rsid w:val="0028496F"/>
    <w:rsid w:val="00284AEB"/>
    <w:rsid w:val="0028594F"/>
    <w:rsid w:val="00285C14"/>
    <w:rsid w:val="00285C77"/>
    <w:rsid w:val="00286299"/>
    <w:rsid w:val="00286882"/>
    <w:rsid w:val="00286E3D"/>
    <w:rsid w:val="00287790"/>
    <w:rsid w:val="00287B2F"/>
    <w:rsid w:val="00287CAA"/>
    <w:rsid w:val="002903C7"/>
    <w:rsid w:val="0029079A"/>
    <w:rsid w:val="00290A6C"/>
    <w:rsid w:val="00290ABB"/>
    <w:rsid w:val="002919CF"/>
    <w:rsid w:val="00291B8C"/>
    <w:rsid w:val="00292817"/>
    <w:rsid w:val="00292974"/>
    <w:rsid w:val="002932E7"/>
    <w:rsid w:val="002934EA"/>
    <w:rsid w:val="0029384F"/>
    <w:rsid w:val="0029396E"/>
    <w:rsid w:val="00293C8B"/>
    <w:rsid w:val="00293F48"/>
    <w:rsid w:val="0029470B"/>
    <w:rsid w:val="00294D9F"/>
    <w:rsid w:val="00294E1D"/>
    <w:rsid w:val="00295082"/>
    <w:rsid w:val="00295861"/>
    <w:rsid w:val="002959B3"/>
    <w:rsid w:val="00295C62"/>
    <w:rsid w:val="00295E75"/>
    <w:rsid w:val="00295EEF"/>
    <w:rsid w:val="00296364"/>
    <w:rsid w:val="0029645B"/>
    <w:rsid w:val="0029649E"/>
    <w:rsid w:val="0029737A"/>
    <w:rsid w:val="00297FDA"/>
    <w:rsid w:val="002A0561"/>
    <w:rsid w:val="002A0FE3"/>
    <w:rsid w:val="002A11E8"/>
    <w:rsid w:val="002A140C"/>
    <w:rsid w:val="002A2797"/>
    <w:rsid w:val="002A33EC"/>
    <w:rsid w:val="002A3725"/>
    <w:rsid w:val="002A37F9"/>
    <w:rsid w:val="002A4139"/>
    <w:rsid w:val="002A4155"/>
    <w:rsid w:val="002A48C5"/>
    <w:rsid w:val="002A5140"/>
    <w:rsid w:val="002A5BF8"/>
    <w:rsid w:val="002A5F2D"/>
    <w:rsid w:val="002A5FDE"/>
    <w:rsid w:val="002A6968"/>
    <w:rsid w:val="002A6AA1"/>
    <w:rsid w:val="002A6BDA"/>
    <w:rsid w:val="002A6E24"/>
    <w:rsid w:val="002A7085"/>
    <w:rsid w:val="002A76FA"/>
    <w:rsid w:val="002A7AB3"/>
    <w:rsid w:val="002A7FA9"/>
    <w:rsid w:val="002B15A5"/>
    <w:rsid w:val="002B227E"/>
    <w:rsid w:val="002B23E4"/>
    <w:rsid w:val="002B25A7"/>
    <w:rsid w:val="002B2610"/>
    <w:rsid w:val="002B26EF"/>
    <w:rsid w:val="002B2B29"/>
    <w:rsid w:val="002B3A2E"/>
    <w:rsid w:val="002B4026"/>
    <w:rsid w:val="002B42AD"/>
    <w:rsid w:val="002B4FDC"/>
    <w:rsid w:val="002B5484"/>
    <w:rsid w:val="002B55C4"/>
    <w:rsid w:val="002B56CD"/>
    <w:rsid w:val="002B601E"/>
    <w:rsid w:val="002B6C82"/>
    <w:rsid w:val="002B7F3A"/>
    <w:rsid w:val="002C03F4"/>
    <w:rsid w:val="002C047B"/>
    <w:rsid w:val="002C04D4"/>
    <w:rsid w:val="002C04E7"/>
    <w:rsid w:val="002C04E9"/>
    <w:rsid w:val="002C08E3"/>
    <w:rsid w:val="002C150C"/>
    <w:rsid w:val="002C1992"/>
    <w:rsid w:val="002C1BDF"/>
    <w:rsid w:val="002C2497"/>
    <w:rsid w:val="002C2FEB"/>
    <w:rsid w:val="002C3BA7"/>
    <w:rsid w:val="002C3E0C"/>
    <w:rsid w:val="002C4AF3"/>
    <w:rsid w:val="002C4B5C"/>
    <w:rsid w:val="002C4CD1"/>
    <w:rsid w:val="002C5FA2"/>
    <w:rsid w:val="002C6284"/>
    <w:rsid w:val="002C67AF"/>
    <w:rsid w:val="002C6AA0"/>
    <w:rsid w:val="002C6C39"/>
    <w:rsid w:val="002C6DE8"/>
    <w:rsid w:val="002C6F1B"/>
    <w:rsid w:val="002C79C9"/>
    <w:rsid w:val="002C7C4A"/>
    <w:rsid w:val="002C7D15"/>
    <w:rsid w:val="002D08ED"/>
    <w:rsid w:val="002D099E"/>
    <w:rsid w:val="002D0FDC"/>
    <w:rsid w:val="002D11A0"/>
    <w:rsid w:val="002D1BB0"/>
    <w:rsid w:val="002D1D73"/>
    <w:rsid w:val="002D1F6C"/>
    <w:rsid w:val="002D22FC"/>
    <w:rsid w:val="002D29DF"/>
    <w:rsid w:val="002D2B2A"/>
    <w:rsid w:val="002D2C55"/>
    <w:rsid w:val="002D3008"/>
    <w:rsid w:val="002D332D"/>
    <w:rsid w:val="002D363F"/>
    <w:rsid w:val="002D3E97"/>
    <w:rsid w:val="002D434B"/>
    <w:rsid w:val="002D45C9"/>
    <w:rsid w:val="002D470B"/>
    <w:rsid w:val="002D4828"/>
    <w:rsid w:val="002D4BB5"/>
    <w:rsid w:val="002D5019"/>
    <w:rsid w:val="002D57E1"/>
    <w:rsid w:val="002D5BEE"/>
    <w:rsid w:val="002D67C8"/>
    <w:rsid w:val="002D77BC"/>
    <w:rsid w:val="002D7935"/>
    <w:rsid w:val="002D79B2"/>
    <w:rsid w:val="002D7CDB"/>
    <w:rsid w:val="002D7D88"/>
    <w:rsid w:val="002D7F01"/>
    <w:rsid w:val="002E06E7"/>
    <w:rsid w:val="002E08DC"/>
    <w:rsid w:val="002E0AB3"/>
    <w:rsid w:val="002E12B8"/>
    <w:rsid w:val="002E1517"/>
    <w:rsid w:val="002E1A50"/>
    <w:rsid w:val="002E1CD0"/>
    <w:rsid w:val="002E21EE"/>
    <w:rsid w:val="002E242F"/>
    <w:rsid w:val="002E2941"/>
    <w:rsid w:val="002E3A89"/>
    <w:rsid w:val="002E4524"/>
    <w:rsid w:val="002E5C28"/>
    <w:rsid w:val="002E5DC7"/>
    <w:rsid w:val="002E5F51"/>
    <w:rsid w:val="002E65D9"/>
    <w:rsid w:val="002E6A98"/>
    <w:rsid w:val="002E6C28"/>
    <w:rsid w:val="002E72FE"/>
    <w:rsid w:val="002E7790"/>
    <w:rsid w:val="002E79EC"/>
    <w:rsid w:val="002E7BE1"/>
    <w:rsid w:val="002E7E4E"/>
    <w:rsid w:val="002F017B"/>
    <w:rsid w:val="002F0941"/>
    <w:rsid w:val="002F0A23"/>
    <w:rsid w:val="002F0B4E"/>
    <w:rsid w:val="002F0BDF"/>
    <w:rsid w:val="002F0F43"/>
    <w:rsid w:val="002F1778"/>
    <w:rsid w:val="002F2366"/>
    <w:rsid w:val="002F2720"/>
    <w:rsid w:val="002F2967"/>
    <w:rsid w:val="002F3331"/>
    <w:rsid w:val="002F334C"/>
    <w:rsid w:val="002F3777"/>
    <w:rsid w:val="002F3EEE"/>
    <w:rsid w:val="002F44C9"/>
    <w:rsid w:val="002F4567"/>
    <w:rsid w:val="002F4654"/>
    <w:rsid w:val="002F48C9"/>
    <w:rsid w:val="002F5AD6"/>
    <w:rsid w:val="002F5AFF"/>
    <w:rsid w:val="002F60FB"/>
    <w:rsid w:val="002F67A7"/>
    <w:rsid w:val="002F713F"/>
    <w:rsid w:val="002F73AA"/>
    <w:rsid w:val="002F777E"/>
    <w:rsid w:val="002F77ED"/>
    <w:rsid w:val="00300276"/>
    <w:rsid w:val="00300732"/>
    <w:rsid w:val="00301975"/>
    <w:rsid w:val="00301A14"/>
    <w:rsid w:val="00301C9F"/>
    <w:rsid w:val="00301F1C"/>
    <w:rsid w:val="003028E7"/>
    <w:rsid w:val="00302DAE"/>
    <w:rsid w:val="00302E21"/>
    <w:rsid w:val="00302FBE"/>
    <w:rsid w:val="0030306C"/>
    <w:rsid w:val="003030E7"/>
    <w:rsid w:val="0030361A"/>
    <w:rsid w:val="00303B4F"/>
    <w:rsid w:val="00303F93"/>
    <w:rsid w:val="0030480B"/>
    <w:rsid w:val="003048B3"/>
    <w:rsid w:val="00304C34"/>
    <w:rsid w:val="00304C7B"/>
    <w:rsid w:val="00304D76"/>
    <w:rsid w:val="00304DD4"/>
    <w:rsid w:val="00304EED"/>
    <w:rsid w:val="00304F78"/>
    <w:rsid w:val="00305129"/>
    <w:rsid w:val="003053C8"/>
    <w:rsid w:val="00305CDE"/>
    <w:rsid w:val="00305D42"/>
    <w:rsid w:val="00306141"/>
    <w:rsid w:val="003062E3"/>
    <w:rsid w:val="00306579"/>
    <w:rsid w:val="003065AA"/>
    <w:rsid w:val="00306743"/>
    <w:rsid w:val="003067B2"/>
    <w:rsid w:val="00306DD1"/>
    <w:rsid w:val="003079A5"/>
    <w:rsid w:val="00307A92"/>
    <w:rsid w:val="00307C75"/>
    <w:rsid w:val="00310960"/>
    <w:rsid w:val="00310ABC"/>
    <w:rsid w:val="0031137F"/>
    <w:rsid w:val="00311734"/>
    <w:rsid w:val="00311840"/>
    <w:rsid w:val="0031271A"/>
    <w:rsid w:val="00312888"/>
    <w:rsid w:val="003133AE"/>
    <w:rsid w:val="00313663"/>
    <w:rsid w:val="00313B6A"/>
    <w:rsid w:val="00313B82"/>
    <w:rsid w:val="00313E04"/>
    <w:rsid w:val="00314395"/>
    <w:rsid w:val="00314D00"/>
    <w:rsid w:val="0031529B"/>
    <w:rsid w:val="0031608A"/>
    <w:rsid w:val="003160DE"/>
    <w:rsid w:val="00316399"/>
    <w:rsid w:val="00316620"/>
    <w:rsid w:val="00316CBD"/>
    <w:rsid w:val="0031753E"/>
    <w:rsid w:val="00317595"/>
    <w:rsid w:val="003176B1"/>
    <w:rsid w:val="00317B6B"/>
    <w:rsid w:val="00317CA4"/>
    <w:rsid w:val="0032016C"/>
    <w:rsid w:val="00320267"/>
    <w:rsid w:val="003205FE"/>
    <w:rsid w:val="00320D8D"/>
    <w:rsid w:val="00320FF8"/>
    <w:rsid w:val="003210B1"/>
    <w:rsid w:val="0032131B"/>
    <w:rsid w:val="003219AE"/>
    <w:rsid w:val="003219E3"/>
    <w:rsid w:val="00321B89"/>
    <w:rsid w:val="00321C21"/>
    <w:rsid w:val="00322729"/>
    <w:rsid w:val="00322BCA"/>
    <w:rsid w:val="00323042"/>
    <w:rsid w:val="003231BF"/>
    <w:rsid w:val="00323DCD"/>
    <w:rsid w:val="00325495"/>
    <w:rsid w:val="00325EDD"/>
    <w:rsid w:val="003269A0"/>
    <w:rsid w:val="00326A8F"/>
    <w:rsid w:val="00326ADA"/>
    <w:rsid w:val="00326D60"/>
    <w:rsid w:val="00327363"/>
    <w:rsid w:val="00330206"/>
    <w:rsid w:val="003304D8"/>
    <w:rsid w:val="00330B88"/>
    <w:rsid w:val="00330C06"/>
    <w:rsid w:val="00330C51"/>
    <w:rsid w:val="003319D8"/>
    <w:rsid w:val="00331A06"/>
    <w:rsid w:val="00331AB4"/>
    <w:rsid w:val="00332FCF"/>
    <w:rsid w:val="003333C4"/>
    <w:rsid w:val="00333AD6"/>
    <w:rsid w:val="00333BD2"/>
    <w:rsid w:val="00333E0A"/>
    <w:rsid w:val="003341A7"/>
    <w:rsid w:val="00334284"/>
    <w:rsid w:val="003346A2"/>
    <w:rsid w:val="003352FE"/>
    <w:rsid w:val="00335337"/>
    <w:rsid w:val="00335989"/>
    <w:rsid w:val="00335A66"/>
    <w:rsid w:val="00335D44"/>
    <w:rsid w:val="003360F4"/>
    <w:rsid w:val="003363B3"/>
    <w:rsid w:val="003365F4"/>
    <w:rsid w:val="0033667E"/>
    <w:rsid w:val="00336795"/>
    <w:rsid w:val="00336857"/>
    <w:rsid w:val="003368AD"/>
    <w:rsid w:val="003368FE"/>
    <w:rsid w:val="00336B7B"/>
    <w:rsid w:val="00336CB0"/>
    <w:rsid w:val="00337303"/>
    <w:rsid w:val="0033759D"/>
    <w:rsid w:val="00337B4C"/>
    <w:rsid w:val="00337DEE"/>
    <w:rsid w:val="0034083D"/>
    <w:rsid w:val="00340A3D"/>
    <w:rsid w:val="003412AF"/>
    <w:rsid w:val="00341D45"/>
    <w:rsid w:val="003420AB"/>
    <w:rsid w:val="003424B4"/>
    <w:rsid w:val="00342584"/>
    <w:rsid w:val="00342739"/>
    <w:rsid w:val="0034289C"/>
    <w:rsid w:val="00342A55"/>
    <w:rsid w:val="00342B69"/>
    <w:rsid w:val="00342B73"/>
    <w:rsid w:val="00342BF8"/>
    <w:rsid w:val="00342E00"/>
    <w:rsid w:val="00343310"/>
    <w:rsid w:val="00343B08"/>
    <w:rsid w:val="00343C10"/>
    <w:rsid w:val="00344565"/>
    <w:rsid w:val="00344637"/>
    <w:rsid w:val="003446C2"/>
    <w:rsid w:val="0034485A"/>
    <w:rsid w:val="00344D35"/>
    <w:rsid w:val="003453BA"/>
    <w:rsid w:val="00345DDE"/>
    <w:rsid w:val="003460D2"/>
    <w:rsid w:val="003469A7"/>
    <w:rsid w:val="00346D2F"/>
    <w:rsid w:val="00347247"/>
    <w:rsid w:val="003473DC"/>
    <w:rsid w:val="00347B18"/>
    <w:rsid w:val="00350229"/>
    <w:rsid w:val="00350843"/>
    <w:rsid w:val="00351101"/>
    <w:rsid w:val="0035169D"/>
    <w:rsid w:val="00351ABC"/>
    <w:rsid w:val="00352484"/>
    <w:rsid w:val="00352759"/>
    <w:rsid w:val="00352B32"/>
    <w:rsid w:val="00352CD1"/>
    <w:rsid w:val="00353873"/>
    <w:rsid w:val="00353FFC"/>
    <w:rsid w:val="003544C7"/>
    <w:rsid w:val="00354633"/>
    <w:rsid w:val="00354FBB"/>
    <w:rsid w:val="0035526A"/>
    <w:rsid w:val="0035583C"/>
    <w:rsid w:val="00355FD8"/>
    <w:rsid w:val="0035642E"/>
    <w:rsid w:val="00356475"/>
    <w:rsid w:val="0035649D"/>
    <w:rsid w:val="003566D4"/>
    <w:rsid w:val="00356C1E"/>
    <w:rsid w:val="00356E20"/>
    <w:rsid w:val="00357171"/>
    <w:rsid w:val="003576F0"/>
    <w:rsid w:val="003577F1"/>
    <w:rsid w:val="00357A86"/>
    <w:rsid w:val="00357D95"/>
    <w:rsid w:val="00357DB0"/>
    <w:rsid w:val="00357DC2"/>
    <w:rsid w:val="00360106"/>
    <w:rsid w:val="00360494"/>
    <w:rsid w:val="00360572"/>
    <w:rsid w:val="00361190"/>
    <w:rsid w:val="0036137A"/>
    <w:rsid w:val="003613C8"/>
    <w:rsid w:val="00361E0B"/>
    <w:rsid w:val="00362151"/>
    <w:rsid w:val="00362539"/>
    <w:rsid w:val="00362CA5"/>
    <w:rsid w:val="00362D48"/>
    <w:rsid w:val="00362EBE"/>
    <w:rsid w:val="003639B2"/>
    <w:rsid w:val="003639C6"/>
    <w:rsid w:val="00363B26"/>
    <w:rsid w:val="00363E52"/>
    <w:rsid w:val="00363E80"/>
    <w:rsid w:val="00363F7C"/>
    <w:rsid w:val="003640A2"/>
    <w:rsid w:val="0036434D"/>
    <w:rsid w:val="003648CF"/>
    <w:rsid w:val="00364E47"/>
    <w:rsid w:val="00365883"/>
    <w:rsid w:val="003658B6"/>
    <w:rsid w:val="003659A8"/>
    <w:rsid w:val="00365A42"/>
    <w:rsid w:val="003661C0"/>
    <w:rsid w:val="003663F9"/>
    <w:rsid w:val="00366E25"/>
    <w:rsid w:val="003674B3"/>
    <w:rsid w:val="00367591"/>
    <w:rsid w:val="00367DBA"/>
    <w:rsid w:val="00370204"/>
    <w:rsid w:val="0037055B"/>
    <w:rsid w:val="00370682"/>
    <w:rsid w:val="00370CFC"/>
    <w:rsid w:val="00371049"/>
    <w:rsid w:val="0037139D"/>
    <w:rsid w:val="00371411"/>
    <w:rsid w:val="00371457"/>
    <w:rsid w:val="0037145C"/>
    <w:rsid w:val="0037146C"/>
    <w:rsid w:val="003714D6"/>
    <w:rsid w:val="00371719"/>
    <w:rsid w:val="00371CD4"/>
    <w:rsid w:val="00371F3F"/>
    <w:rsid w:val="00372332"/>
    <w:rsid w:val="003725EE"/>
    <w:rsid w:val="003726F6"/>
    <w:rsid w:val="00372B77"/>
    <w:rsid w:val="00372BF8"/>
    <w:rsid w:val="003736DF"/>
    <w:rsid w:val="00373732"/>
    <w:rsid w:val="00373A53"/>
    <w:rsid w:val="00373B77"/>
    <w:rsid w:val="003743E0"/>
    <w:rsid w:val="0037470C"/>
    <w:rsid w:val="00374C2E"/>
    <w:rsid w:val="00374D35"/>
    <w:rsid w:val="0037540F"/>
    <w:rsid w:val="0037563E"/>
    <w:rsid w:val="00375D7A"/>
    <w:rsid w:val="00375D88"/>
    <w:rsid w:val="00375DD8"/>
    <w:rsid w:val="00375FF4"/>
    <w:rsid w:val="00376746"/>
    <w:rsid w:val="00376BE0"/>
    <w:rsid w:val="00376D97"/>
    <w:rsid w:val="00377BAB"/>
    <w:rsid w:val="00377EF0"/>
    <w:rsid w:val="00377F90"/>
    <w:rsid w:val="00380184"/>
    <w:rsid w:val="00380863"/>
    <w:rsid w:val="00380867"/>
    <w:rsid w:val="00381018"/>
    <w:rsid w:val="00381110"/>
    <w:rsid w:val="00381A5F"/>
    <w:rsid w:val="00382164"/>
    <w:rsid w:val="00382F59"/>
    <w:rsid w:val="003832F5"/>
    <w:rsid w:val="0038335E"/>
    <w:rsid w:val="00383432"/>
    <w:rsid w:val="003835D6"/>
    <w:rsid w:val="003839C1"/>
    <w:rsid w:val="00383D51"/>
    <w:rsid w:val="00383EDF"/>
    <w:rsid w:val="0038431D"/>
    <w:rsid w:val="0038491C"/>
    <w:rsid w:val="003857A2"/>
    <w:rsid w:val="00385A21"/>
    <w:rsid w:val="00386C97"/>
    <w:rsid w:val="00387242"/>
    <w:rsid w:val="00387A00"/>
    <w:rsid w:val="00387A72"/>
    <w:rsid w:val="00387D56"/>
    <w:rsid w:val="00387EF8"/>
    <w:rsid w:val="003902C7"/>
    <w:rsid w:val="00390626"/>
    <w:rsid w:val="00390637"/>
    <w:rsid w:val="00390846"/>
    <w:rsid w:val="00390AD9"/>
    <w:rsid w:val="00390C16"/>
    <w:rsid w:val="00390E4C"/>
    <w:rsid w:val="003914AF"/>
    <w:rsid w:val="003916D0"/>
    <w:rsid w:val="003917A7"/>
    <w:rsid w:val="00392433"/>
    <w:rsid w:val="00392635"/>
    <w:rsid w:val="00392BFD"/>
    <w:rsid w:val="00392D87"/>
    <w:rsid w:val="00393333"/>
    <w:rsid w:val="003935DA"/>
    <w:rsid w:val="00393D0D"/>
    <w:rsid w:val="00393FEE"/>
    <w:rsid w:val="003942FB"/>
    <w:rsid w:val="003944F7"/>
    <w:rsid w:val="00394BD1"/>
    <w:rsid w:val="003952FC"/>
    <w:rsid w:val="00395C3C"/>
    <w:rsid w:val="00395F2D"/>
    <w:rsid w:val="00396099"/>
    <w:rsid w:val="0039646B"/>
    <w:rsid w:val="00396B7A"/>
    <w:rsid w:val="00397594"/>
    <w:rsid w:val="003A082F"/>
    <w:rsid w:val="003A0E9D"/>
    <w:rsid w:val="003A1020"/>
    <w:rsid w:val="003A1F7C"/>
    <w:rsid w:val="003A217F"/>
    <w:rsid w:val="003A225D"/>
    <w:rsid w:val="003A2EAB"/>
    <w:rsid w:val="003A3381"/>
    <w:rsid w:val="003A4045"/>
    <w:rsid w:val="003A455C"/>
    <w:rsid w:val="003A485D"/>
    <w:rsid w:val="003A4C64"/>
    <w:rsid w:val="003A5DD5"/>
    <w:rsid w:val="003A6377"/>
    <w:rsid w:val="003A6948"/>
    <w:rsid w:val="003A7337"/>
    <w:rsid w:val="003A763B"/>
    <w:rsid w:val="003A7A57"/>
    <w:rsid w:val="003A7C4A"/>
    <w:rsid w:val="003B07D2"/>
    <w:rsid w:val="003B0852"/>
    <w:rsid w:val="003B1126"/>
    <w:rsid w:val="003B11D2"/>
    <w:rsid w:val="003B122E"/>
    <w:rsid w:val="003B13A3"/>
    <w:rsid w:val="003B189E"/>
    <w:rsid w:val="003B18C3"/>
    <w:rsid w:val="003B1BCA"/>
    <w:rsid w:val="003B1C0B"/>
    <w:rsid w:val="003B1F7E"/>
    <w:rsid w:val="003B2390"/>
    <w:rsid w:val="003B28B4"/>
    <w:rsid w:val="003B30A8"/>
    <w:rsid w:val="003B32CC"/>
    <w:rsid w:val="003B3444"/>
    <w:rsid w:val="003B3657"/>
    <w:rsid w:val="003B3767"/>
    <w:rsid w:val="003B4DA0"/>
    <w:rsid w:val="003B55C5"/>
    <w:rsid w:val="003B56F3"/>
    <w:rsid w:val="003B5B72"/>
    <w:rsid w:val="003B6688"/>
    <w:rsid w:val="003B6C02"/>
    <w:rsid w:val="003B6D35"/>
    <w:rsid w:val="003B6EF4"/>
    <w:rsid w:val="003B7781"/>
    <w:rsid w:val="003B7968"/>
    <w:rsid w:val="003B7BD4"/>
    <w:rsid w:val="003B7EA3"/>
    <w:rsid w:val="003C04F7"/>
    <w:rsid w:val="003C0556"/>
    <w:rsid w:val="003C0879"/>
    <w:rsid w:val="003C09FB"/>
    <w:rsid w:val="003C145B"/>
    <w:rsid w:val="003C19B5"/>
    <w:rsid w:val="003C1BE6"/>
    <w:rsid w:val="003C2508"/>
    <w:rsid w:val="003C2D4E"/>
    <w:rsid w:val="003C3286"/>
    <w:rsid w:val="003C3335"/>
    <w:rsid w:val="003C3487"/>
    <w:rsid w:val="003C369A"/>
    <w:rsid w:val="003C3736"/>
    <w:rsid w:val="003C3D3D"/>
    <w:rsid w:val="003C4443"/>
    <w:rsid w:val="003C493D"/>
    <w:rsid w:val="003C4FC4"/>
    <w:rsid w:val="003C50EC"/>
    <w:rsid w:val="003C5257"/>
    <w:rsid w:val="003C570D"/>
    <w:rsid w:val="003C6597"/>
    <w:rsid w:val="003C6B44"/>
    <w:rsid w:val="003C6D3F"/>
    <w:rsid w:val="003C6D9C"/>
    <w:rsid w:val="003C70E9"/>
    <w:rsid w:val="003C73C5"/>
    <w:rsid w:val="003C7AEE"/>
    <w:rsid w:val="003D028C"/>
    <w:rsid w:val="003D0738"/>
    <w:rsid w:val="003D099F"/>
    <w:rsid w:val="003D0AD3"/>
    <w:rsid w:val="003D130E"/>
    <w:rsid w:val="003D17F7"/>
    <w:rsid w:val="003D19CC"/>
    <w:rsid w:val="003D1D7B"/>
    <w:rsid w:val="003D2CE0"/>
    <w:rsid w:val="003D32C4"/>
    <w:rsid w:val="003D33E0"/>
    <w:rsid w:val="003D35D1"/>
    <w:rsid w:val="003D3A87"/>
    <w:rsid w:val="003D3B3B"/>
    <w:rsid w:val="003D3E95"/>
    <w:rsid w:val="003D4308"/>
    <w:rsid w:val="003D4523"/>
    <w:rsid w:val="003D4786"/>
    <w:rsid w:val="003D4B77"/>
    <w:rsid w:val="003D4E42"/>
    <w:rsid w:val="003D5020"/>
    <w:rsid w:val="003D53C5"/>
    <w:rsid w:val="003D53F4"/>
    <w:rsid w:val="003D580E"/>
    <w:rsid w:val="003D5987"/>
    <w:rsid w:val="003D5A0A"/>
    <w:rsid w:val="003D6290"/>
    <w:rsid w:val="003D64B7"/>
    <w:rsid w:val="003D699D"/>
    <w:rsid w:val="003D6B8A"/>
    <w:rsid w:val="003D7194"/>
    <w:rsid w:val="003D74D5"/>
    <w:rsid w:val="003D78B3"/>
    <w:rsid w:val="003D7A1B"/>
    <w:rsid w:val="003D7C2D"/>
    <w:rsid w:val="003D7EE3"/>
    <w:rsid w:val="003E05D2"/>
    <w:rsid w:val="003E0C4D"/>
    <w:rsid w:val="003E0D06"/>
    <w:rsid w:val="003E11D3"/>
    <w:rsid w:val="003E1503"/>
    <w:rsid w:val="003E1CBB"/>
    <w:rsid w:val="003E1F7F"/>
    <w:rsid w:val="003E213E"/>
    <w:rsid w:val="003E21A2"/>
    <w:rsid w:val="003E2241"/>
    <w:rsid w:val="003E2409"/>
    <w:rsid w:val="003E24EC"/>
    <w:rsid w:val="003E279B"/>
    <w:rsid w:val="003E280C"/>
    <w:rsid w:val="003E28A2"/>
    <w:rsid w:val="003E2FE2"/>
    <w:rsid w:val="003E3739"/>
    <w:rsid w:val="003E37E2"/>
    <w:rsid w:val="003E37F4"/>
    <w:rsid w:val="003E3915"/>
    <w:rsid w:val="003E3C10"/>
    <w:rsid w:val="003E43DE"/>
    <w:rsid w:val="003E51C6"/>
    <w:rsid w:val="003E585E"/>
    <w:rsid w:val="003E601C"/>
    <w:rsid w:val="003E6113"/>
    <w:rsid w:val="003E6858"/>
    <w:rsid w:val="003E6A35"/>
    <w:rsid w:val="003E6F89"/>
    <w:rsid w:val="003E7627"/>
    <w:rsid w:val="003E7BCE"/>
    <w:rsid w:val="003E7D01"/>
    <w:rsid w:val="003E7D53"/>
    <w:rsid w:val="003E7D94"/>
    <w:rsid w:val="003F05D2"/>
    <w:rsid w:val="003F0849"/>
    <w:rsid w:val="003F1106"/>
    <w:rsid w:val="003F1400"/>
    <w:rsid w:val="003F15CB"/>
    <w:rsid w:val="003F1B86"/>
    <w:rsid w:val="003F1D5F"/>
    <w:rsid w:val="003F1F3F"/>
    <w:rsid w:val="003F2290"/>
    <w:rsid w:val="003F231F"/>
    <w:rsid w:val="003F2568"/>
    <w:rsid w:val="003F2966"/>
    <w:rsid w:val="003F2B35"/>
    <w:rsid w:val="003F2CB5"/>
    <w:rsid w:val="003F3DBB"/>
    <w:rsid w:val="003F40AE"/>
    <w:rsid w:val="003F461D"/>
    <w:rsid w:val="003F4B4E"/>
    <w:rsid w:val="003F4D70"/>
    <w:rsid w:val="003F51CA"/>
    <w:rsid w:val="003F57FB"/>
    <w:rsid w:val="003F5CD4"/>
    <w:rsid w:val="003F5FC2"/>
    <w:rsid w:val="003F6B81"/>
    <w:rsid w:val="003F6E37"/>
    <w:rsid w:val="003F7A8F"/>
    <w:rsid w:val="004000B2"/>
    <w:rsid w:val="0040039B"/>
    <w:rsid w:val="004004DB"/>
    <w:rsid w:val="00400CE9"/>
    <w:rsid w:val="00401015"/>
    <w:rsid w:val="00401457"/>
    <w:rsid w:val="00401867"/>
    <w:rsid w:val="004019B8"/>
    <w:rsid w:val="00401E2D"/>
    <w:rsid w:val="004027CF"/>
    <w:rsid w:val="00402B47"/>
    <w:rsid w:val="00402C72"/>
    <w:rsid w:val="00402F96"/>
    <w:rsid w:val="004031D1"/>
    <w:rsid w:val="004031E9"/>
    <w:rsid w:val="004031FE"/>
    <w:rsid w:val="004035A8"/>
    <w:rsid w:val="0040364E"/>
    <w:rsid w:val="00404404"/>
    <w:rsid w:val="00404736"/>
    <w:rsid w:val="0040487F"/>
    <w:rsid w:val="00404BF1"/>
    <w:rsid w:val="004055DC"/>
    <w:rsid w:val="00405CA0"/>
    <w:rsid w:val="00405EBF"/>
    <w:rsid w:val="00405F14"/>
    <w:rsid w:val="00406288"/>
    <w:rsid w:val="00406656"/>
    <w:rsid w:val="004069C0"/>
    <w:rsid w:val="00406E6B"/>
    <w:rsid w:val="0040755F"/>
    <w:rsid w:val="004077E2"/>
    <w:rsid w:val="00407FA3"/>
    <w:rsid w:val="00410111"/>
    <w:rsid w:val="00410252"/>
    <w:rsid w:val="00410351"/>
    <w:rsid w:val="0041041D"/>
    <w:rsid w:val="0041045D"/>
    <w:rsid w:val="004110E9"/>
    <w:rsid w:val="0041158C"/>
    <w:rsid w:val="004115A8"/>
    <w:rsid w:val="00411700"/>
    <w:rsid w:val="00411CCA"/>
    <w:rsid w:val="0041206F"/>
    <w:rsid w:val="004121C0"/>
    <w:rsid w:val="00412777"/>
    <w:rsid w:val="004129C5"/>
    <w:rsid w:val="00412AFB"/>
    <w:rsid w:val="00412B11"/>
    <w:rsid w:val="00412B80"/>
    <w:rsid w:val="00412CDC"/>
    <w:rsid w:val="00413678"/>
    <w:rsid w:val="0041422B"/>
    <w:rsid w:val="004144B9"/>
    <w:rsid w:val="004147D7"/>
    <w:rsid w:val="00414A21"/>
    <w:rsid w:val="00414C28"/>
    <w:rsid w:val="00415846"/>
    <w:rsid w:val="00415CD8"/>
    <w:rsid w:val="004162D0"/>
    <w:rsid w:val="004164C8"/>
    <w:rsid w:val="00416AD6"/>
    <w:rsid w:val="00416DC3"/>
    <w:rsid w:val="00416E16"/>
    <w:rsid w:val="0041787F"/>
    <w:rsid w:val="00417A4A"/>
    <w:rsid w:val="00417FD7"/>
    <w:rsid w:val="004205FE"/>
    <w:rsid w:val="004209B8"/>
    <w:rsid w:val="00420FED"/>
    <w:rsid w:val="00421143"/>
    <w:rsid w:val="00421975"/>
    <w:rsid w:val="00422814"/>
    <w:rsid w:val="00422DB3"/>
    <w:rsid w:val="00422EFD"/>
    <w:rsid w:val="0042378D"/>
    <w:rsid w:val="00424583"/>
    <w:rsid w:val="004245EA"/>
    <w:rsid w:val="00424A61"/>
    <w:rsid w:val="00424A7A"/>
    <w:rsid w:val="00424DC9"/>
    <w:rsid w:val="004250F4"/>
    <w:rsid w:val="00425512"/>
    <w:rsid w:val="00426369"/>
    <w:rsid w:val="004263C0"/>
    <w:rsid w:val="00426536"/>
    <w:rsid w:val="0042686A"/>
    <w:rsid w:val="00426F68"/>
    <w:rsid w:val="00426F73"/>
    <w:rsid w:val="004271E4"/>
    <w:rsid w:val="00427F69"/>
    <w:rsid w:val="00430237"/>
    <w:rsid w:val="00430557"/>
    <w:rsid w:val="004306C1"/>
    <w:rsid w:val="00431C04"/>
    <w:rsid w:val="004321AE"/>
    <w:rsid w:val="004322F6"/>
    <w:rsid w:val="00432BE1"/>
    <w:rsid w:val="004330E6"/>
    <w:rsid w:val="00433CCD"/>
    <w:rsid w:val="00434297"/>
    <w:rsid w:val="0043456B"/>
    <w:rsid w:val="00434B9F"/>
    <w:rsid w:val="00434E59"/>
    <w:rsid w:val="00434E86"/>
    <w:rsid w:val="00435954"/>
    <w:rsid w:val="00435983"/>
    <w:rsid w:val="004359DD"/>
    <w:rsid w:val="004359E3"/>
    <w:rsid w:val="00435B0B"/>
    <w:rsid w:val="00435D9F"/>
    <w:rsid w:val="00436154"/>
    <w:rsid w:val="00437702"/>
    <w:rsid w:val="0043790F"/>
    <w:rsid w:val="00437B7C"/>
    <w:rsid w:val="00437BF8"/>
    <w:rsid w:val="004407B1"/>
    <w:rsid w:val="004407F1"/>
    <w:rsid w:val="00440B81"/>
    <w:rsid w:val="00441444"/>
    <w:rsid w:val="00442284"/>
    <w:rsid w:val="00442721"/>
    <w:rsid w:val="004427F5"/>
    <w:rsid w:val="0044293A"/>
    <w:rsid w:val="00442973"/>
    <w:rsid w:val="00442BD9"/>
    <w:rsid w:val="0044302E"/>
    <w:rsid w:val="0044372A"/>
    <w:rsid w:val="00443902"/>
    <w:rsid w:val="00443947"/>
    <w:rsid w:val="00443E96"/>
    <w:rsid w:val="00444009"/>
    <w:rsid w:val="004449B4"/>
    <w:rsid w:val="00444C1B"/>
    <w:rsid w:val="00444DCC"/>
    <w:rsid w:val="0044616E"/>
    <w:rsid w:val="004475F2"/>
    <w:rsid w:val="004478C0"/>
    <w:rsid w:val="00447C24"/>
    <w:rsid w:val="00447C45"/>
    <w:rsid w:val="00447DA8"/>
    <w:rsid w:val="0045029E"/>
    <w:rsid w:val="00450620"/>
    <w:rsid w:val="00450774"/>
    <w:rsid w:val="00450AF9"/>
    <w:rsid w:val="00450F0C"/>
    <w:rsid w:val="00450F86"/>
    <w:rsid w:val="00451082"/>
    <w:rsid w:val="00451519"/>
    <w:rsid w:val="00452273"/>
    <w:rsid w:val="004525EA"/>
    <w:rsid w:val="00452E58"/>
    <w:rsid w:val="004542A5"/>
    <w:rsid w:val="00454368"/>
    <w:rsid w:val="00454528"/>
    <w:rsid w:val="0045491D"/>
    <w:rsid w:val="0045492D"/>
    <w:rsid w:val="00455308"/>
    <w:rsid w:val="00456346"/>
    <w:rsid w:val="004569B3"/>
    <w:rsid w:val="00456E6E"/>
    <w:rsid w:val="004571CB"/>
    <w:rsid w:val="00457303"/>
    <w:rsid w:val="00457378"/>
    <w:rsid w:val="004575B2"/>
    <w:rsid w:val="00457939"/>
    <w:rsid w:val="00457B6F"/>
    <w:rsid w:val="00457C89"/>
    <w:rsid w:val="00457DA6"/>
    <w:rsid w:val="00457E88"/>
    <w:rsid w:val="00457F65"/>
    <w:rsid w:val="004607C8"/>
    <w:rsid w:val="004612FF"/>
    <w:rsid w:val="004616A0"/>
    <w:rsid w:val="00461B23"/>
    <w:rsid w:val="00462A7A"/>
    <w:rsid w:val="00462BEF"/>
    <w:rsid w:val="00462D88"/>
    <w:rsid w:val="004633A5"/>
    <w:rsid w:val="004634AE"/>
    <w:rsid w:val="004639F6"/>
    <w:rsid w:val="00463D2B"/>
    <w:rsid w:val="0046422D"/>
    <w:rsid w:val="00464609"/>
    <w:rsid w:val="0046492A"/>
    <w:rsid w:val="00464CFE"/>
    <w:rsid w:val="00464F6C"/>
    <w:rsid w:val="0046526F"/>
    <w:rsid w:val="00465632"/>
    <w:rsid w:val="00465A1D"/>
    <w:rsid w:val="00465F3C"/>
    <w:rsid w:val="00465FCD"/>
    <w:rsid w:val="00466199"/>
    <w:rsid w:val="00466232"/>
    <w:rsid w:val="004662A4"/>
    <w:rsid w:val="004674E9"/>
    <w:rsid w:val="00467858"/>
    <w:rsid w:val="00467ADD"/>
    <w:rsid w:val="0047079A"/>
    <w:rsid w:val="00470858"/>
    <w:rsid w:val="004710E4"/>
    <w:rsid w:val="00471356"/>
    <w:rsid w:val="00471787"/>
    <w:rsid w:val="00471A61"/>
    <w:rsid w:val="00471F5C"/>
    <w:rsid w:val="00472B6C"/>
    <w:rsid w:val="00473185"/>
    <w:rsid w:val="004731F0"/>
    <w:rsid w:val="004736B1"/>
    <w:rsid w:val="00473795"/>
    <w:rsid w:val="004745A2"/>
    <w:rsid w:val="00474B8E"/>
    <w:rsid w:val="00475275"/>
    <w:rsid w:val="00475A6E"/>
    <w:rsid w:val="00475BE9"/>
    <w:rsid w:val="00476479"/>
    <w:rsid w:val="004775B2"/>
    <w:rsid w:val="00477F60"/>
    <w:rsid w:val="0048027E"/>
    <w:rsid w:val="004804AA"/>
    <w:rsid w:val="00480749"/>
    <w:rsid w:val="004807BC"/>
    <w:rsid w:val="00480895"/>
    <w:rsid w:val="00480BB3"/>
    <w:rsid w:val="004815F5"/>
    <w:rsid w:val="0048163E"/>
    <w:rsid w:val="004818D2"/>
    <w:rsid w:val="00481964"/>
    <w:rsid w:val="00481B06"/>
    <w:rsid w:val="00482102"/>
    <w:rsid w:val="004824EB"/>
    <w:rsid w:val="00482534"/>
    <w:rsid w:val="004825F3"/>
    <w:rsid w:val="00482A7A"/>
    <w:rsid w:val="00482AB9"/>
    <w:rsid w:val="00482C64"/>
    <w:rsid w:val="004831F5"/>
    <w:rsid w:val="00483345"/>
    <w:rsid w:val="00483982"/>
    <w:rsid w:val="00483BEC"/>
    <w:rsid w:val="00483F54"/>
    <w:rsid w:val="0048436C"/>
    <w:rsid w:val="0048477F"/>
    <w:rsid w:val="004855A7"/>
    <w:rsid w:val="004856EE"/>
    <w:rsid w:val="004858C0"/>
    <w:rsid w:val="0048594F"/>
    <w:rsid w:val="00485DC7"/>
    <w:rsid w:val="00485E65"/>
    <w:rsid w:val="00485E75"/>
    <w:rsid w:val="00485F68"/>
    <w:rsid w:val="00486369"/>
    <w:rsid w:val="0048666B"/>
    <w:rsid w:val="004866B3"/>
    <w:rsid w:val="004868DD"/>
    <w:rsid w:val="004869B3"/>
    <w:rsid w:val="004875A0"/>
    <w:rsid w:val="00487E2D"/>
    <w:rsid w:val="00487EC9"/>
    <w:rsid w:val="0049075C"/>
    <w:rsid w:val="00490CB8"/>
    <w:rsid w:val="00490E69"/>
    <w:rsid w:val="00490EE2"/>
    <w:rsid w:val="0049103A"/>
    <w:rsid w:val="00491657"/>
    <w:rsid w:val="004918A2"/>
    <w:rsid w:val="00491F83"/>
    <w:rsid w:val="00492249"/>
    <w:rsid w:val="0049283C"/>
    <w:rsid w:val="00492979"/>
    <w:rsid w:val="00492D02"/>
    <w:rsid w:val="00493120"/>
    <w:rsid w:val="004931BD"/>
    <w:rsid w:val="004935B0"/>
    <w:rsid w:val="00493B6D"/>
    <w:rsid w:val="00493E60"/>
    <w:rsid w:val="0049520C"/>
    <w:rsid w:val="004955FA"/>
    <w:rsid w:val="00495727"/>
    <w:rsid w:val="004957EE"/>
    <w:rsid w:val="00495E79"/>
    <w:rsid w:val="00496062"/>
    <w:rsid w:val="0049624D"/>
    <w:rsid w:val="00496536"/>
    <w:rsid w:val="00496814"/>
    <w:rsid w:val="00496A9D"/>
    <w:rsid w:val="00496D86"/>
    <w:rsid w:val="00496D99"/>
    <w:rsid w:val="0049724F"/>
    <w:rsid w:val="00497492"/>
    <w:rsid w:val="004974D0"/>
    <w:rsid w:val="00497500"/>
    <w:rsid w:val="00497506"/>
    <w:rsid w:val="00497D8E"/>
    <w:rsid w:val="004A08B1"/>
    <w:rsid w:val="004A08FE"/>
    <w:rsid w:val="004A14EA"/>
    <w:rsid w:val="004A14F2"/>
    <w:rsid w:val="004A19A7"/>
    <w:rsid w:val="004A2434"/>
    <w:rsid w:val="004A24EF"/>
    <w:rsid w:val="004A3983"/>
    <w:rsid w:val="004A4122"/>
    <w:rsid w:val="004A4389"/>
    <w:rsid w:val="004A47C5"/>
    <w:rsid w:val="004A4970"/>
    <w:rsid w:val="004A5918"/>
    <w:rsid w:val="004A5CF5"/>
    <w:rsid w:val="004A5D2F"/>
    <w:rsid w:val="004A5DBC"/>
    <w:rsid w:val="004A68DC"/>
    <w:rsid w:val="004A69E4"/>
    <w:rsid w:val="004A6B14"/>
    <w:rsid w:val="004A7785"/>
    <w:rsid w:val="004A7C46"/>
    <w:rsid w:val="004B0270"/>
    <w:rsid w:val="004B05AE"/>
    <w:rsid w:val="004B08F3"/>
    <w:rsid w:val="004B0C2C"/>
    <w:rsid w:val="004B0E50"/>
    <w:rsid w:val="004B1608"/>
    <w:rsid w:val="004B16FB"/>
    <w:rsid w:val="004B1FBD"/>
    <w:rsid w:val="004B200F"/>
    <w:rsid w:val="004B26C7"/>
    <w:rsid w:val="004B2AD6"/>
    <w:rsid w:val="004B2B89"/>
    <w:rsid w:val="004B2B9F"/>
    <w:rsid w:val="004B2E20"/>
    <w:rsid w:val="004B34D2"/>
    <w:rsid w:val="004B3E4B"/>
    <w:rsid w:val="004B508F"/>
    <w:rsid w:val="004B58FE"/>
    <w:rsid w:val="004B598E"/>
    <w:rsid w:val="004B6191"/>
    <w:rsid w:val="004B682F"/>
    <w:rsid w:val="004C005B"/>
    <w:rsid w:val="004C09C8"/>
    <w:rsid w:val="004C11CD"/>
    <w:rsid w:val="004C20BC"/>
    <w:rsid w:val="004C20F5"/>
    <w:rsid w:val="004C256B"/>
    <w:rsid w:val="004C2687"/>
    <w:rsid w:val="004C2748"/>
    <w:rsid w:val="004C27CC"/>
    <w:rsid w:val="004C3000"/>
    <w:rsid w:val="004C37A7"/>
    <w:rsid w:val="004C3979"/>
    <w:rsid w:val="004C39F6"/>
    <w:rsid w:val="004C3BD1"/>
    <w:rsid w:val="004C4001"/>
    <w:rsid w:val="004C41A0"/>
    <w:rsid w:val="004C470B"/>
    <w:rsid w:val="004C5106"/>
    <w:rsid w:val="004C56F9"/>
    <w:rsid w:val="004C572C"/>
    <w:rsid w:val="004C582A"/>
    <w:rsid w:val="004C5BC7"/>
    <w:rsid w:val="004C5BE2"/>
    <w:rsid w:val="004C5DC8"/>
    <w:rsid w:val="004C5DEB"/>
    <w:rsid w:val="004C614B"/>
    <w:rsid w:val="004C6559"/>
    <w:rsid w:val="004C6792"/>
    <w:rsid w:val="004C6DBA"/>
    <w:rsid w:val="004C733A"/>
    <w:rsid w:val="004C7564"/>
    <w:rsid w:val="004C79B7"/>
    <w:rsid w:val="004C7B82"/>
    <w:rsid w:val="004C7B91"/>
    <w:rsid w:val="004C7F39"/>
    <w:rsid w:val="004D00C4"/>
    <w:rsid w:val="004D03F5"/>
    <w:rsid w:val="004D05B4"/>
    <w:rsid w:val="004D0C23"/>
    <w:rsid w:val="004D107E"/>
    <w:rsid w:val="004D120B"/>
    <w:rsid w:val="004D144B"/>
    <w:rsid w:val="004D1D0D"/>
    <w:rsid w:val="004D2408"/>
    <w:rsid w:val="004D2F1D"/>
    <w:rsid w:val="004D3292"/>
    <w:rsid w:val="004D35EC"/>
    <w:rsid w:val="004D4115"/>
    <w:rsid w:val="004D5029"/>
    <w:rsid w:val="004D50BF"/>
    <w:rsid w:val="004D52BF"/>
    <w:rsid w:val="004D555F"/>
    <w:rsid w:val="004D596E"/>
    <w:rsid w:val="004D5FC7"/>
    <w:rsid w:val="004D6072"/>
    <w:rsid w:val="004D63F8"/>
    <w:rsid w:val="004D6973"/>
    <w:rsid w:val="004D6BE6"/>
    <w:rsid w:val="004D6D20"/>
    <w:rsid w:val="004D7219"/>
    <w:rsid w:val="004D74E9"/>
    <w:rsid w:val="004D7613"/>
    <w:rsid w:val="004D7877"/>
    <w:rsid w:val="004D7967"/>
    <w:rsid w:val="004D7AE5"/>
    <w:rsid w:val="004D7C64"/>
    <w:rsid w:val="004D7C7C"/>
    <w:rsid w:val="004D7CBE"/>
    <w:rsid w:val="004E0E55"/>
    <w:rsid w:val="004E0EAF"/>
    <w:rsid w:val="004E125C"/>
    <w:rsid w:val="004E139C"/>
    <w:rsid w:val="004E1745"/>
    <w:rsid w:val="004E1D65"/>
    <w:rsid w:val="004E1D70"/>
    <w:rsid w:val="004E1DF7"/>
    <w:rsid w:val="004E1E83"/>
    <w:rsid w:val="004E3335"/>
    <w:rsid w:val="004E34EA"/>
    <w:rsid w:val="004E3740"/>
    <w:rsid w:val="004E3EE5"/>
    <w:rsid w:val="004E3FB1"/>
    <w:rsid w:val="004E41DD"/>
    <w:rsid w:val="004E4846"/>
    <w:rsid w:val="004E4869"/>
    <w:rsid w:val="004E4D15"/>
    <w:rsid w:val="004E4ECA"/>
    <w:rsid w:val="004E5276"/>
    <w:rsid w:val="004E53A0"/>
    <w:rsid w:val="004E53B9"/>
    <w:rsid w:val="004E53E8"/>
    <w:rsid w:val="004E5904"/>
    <w:rsid w:val="004E5D77"/>
    <w:rsid w:val="004E6124"/>
    <w:rsid w:val="004E639C"/>
    <w:rsid w:val="004E63F3"/>
    <w:rsid w:val="004E6953"/>
    <w:rsid w:val="004E6AF6"/>
    <w:rsid w:val="004E6CCB"/>
    <w:rsid w:val="004E6E89"/>
    <w:rsid w:val="004E7F51"/>
    <w:rsid w:val="004E7F70"/>
    <w:rsid w:val="004F026B"/>
    <w:rsid w:val="004F073B"/>
    <w:rsid w:val="004F089C"/>
    <w:rsid w:val="004F0A8E"/>
    <w:rsid w:val="004F0AFA"/>
    <w:rsid w:val="004F0E08"/>
    <w:rsid w:val="004F11FA"/>
    <w:rsid w:val="004F16E6"/>
    <w:rsid w:val="004F1A38"/>
    <w:rsid w:val="004F1AF0"/>
    <w:rsid w:val="004F1CD1"/>
    <w:rsid w:val="004F1EAF"/>
    <w:rsid w:val="004F3A59"/>
    <w:rsid w:val="004F444A"/>
    <w:rsid w:val="004F46BC"/>
    <w:rsid w:val="004F4A1E"/>
    <w:rsid w:val="004F4BA5"/>
    <w:rsid w:val="004F4C08"/>
    <w:rsid w:val="004F4E32"/>
    <w:rsid w:val="004F4E83"/>
    <w:rsid w:val="004F4F32"/>
    <w:rsid w:val="004F4FE3"/>
    <w:rsid w:val="004F5227"/>
    <w:rsid w:val="004F58A0"/>
    <w:rsid w:val="004F61BF"/>
    <w:rsid w:val="004F6418"/>
    <w:rsid w:val="004F757F"/>
    <w:rsid w:val="004F75F8"/>
    <w:rsid w:val="004F780E"/>
    <w:rsid w:val="004F79DD"/>
    <w:rsid w:val="004F7C2F"/>
    <w:rsid w:val="004F7E21"/>
    <w:rsid w:val="00500BD2"/>
    <w:rsid w:val="005015EA"/>
    <w:rsid w:val="0050162C"/>
    <w:rsid w:val="005016A7"/>
    <w:rsid w:val="00501801"/>
    <w:rsid w:val="00501F0E"/>
    <w:rsid w:val="00502A40"/>
    <w:rsid w:val="00502B36"/>
    <w:rsid w:val="00502EF9"/>
    <w:rsid w:val="00502F89"/>
    <w:rsid w:val="005037AF"/>
    <w:rsid w:val="00503F2A"/>
    <w:rsid w:val="0050422D"/>
    <w:rsid w:val="005044A9"/>
    <w:rsid w:val="005045BC"/>
    <w:rsid w:val="00504944"/>
    <w:rsid w:val="00504E79"/>
    <w:rsid w:val="00505060"/>
    <w:rsid w:val="0050507E"/>
    <w:rsid w:val="00505646"/>
    <w:rsid w:val="00505D01"/>
    <w:rsid w:val="00505E05"/>
    <w:rsid w:val="00505F65"/>
    <w:rsid w:val="00506270"/>
    <w:rsid w:val="005072D0"/>
    <w:rsid w:val="00507B74"/>
    <w:rsid w:val="005103D8"/>
    <w:rsid w:val="00510CA2"/>
    <w:rsid w:val="00510D52"/>
    <w:rsid w:val="00510F74"/>
    <w:rsid w:val="00511125"/>
    <w:rsid w:val="0051112B"/>
    <w:rsid w:val="005113EA"/>
    <w:rsid w:val="005114AB"/>
    <w:rsid w:val="005115E8"/>
    <w:rsid w:val="0051165E"/>
    <w:rsid w:val="0051175A"/>
    <w:rsid w:val="00511A64"/>
    <w:rsid w:val="00511B69"/>
    <w:rsid w:val="00511BEA"/>
    <w:rsid w:val="00511D90"/>
    <w:rsid w:val="00511DCD"/>
    <w:rsid w:val="00511E27"/>
    <w:rsid w:val="00512D35"/>
    <w:rsid w:val="00512D6B"/>
    <w:rsid w:val="005130DF"/>
    <w:rsid w:val="00513C11"/>
    <w:rsid w:val="00513D82"/>
    <w:rsid w:val="00513F29"/>
    <w:rsid w:val="005142FC"/>
    <w:rsid w:val="005144F3"/>
    <w:rsid w:val="00514ED7"/>
    <w:rsid w:val="00515113"/>
    <w:rsid w:val="0051514C"/>
    <w:rsid w:val="00515397"/>
    <w:rsid w:val="005155E4"/>
    <w:rsid w:val="0051568B"/>
    <w:rsid w:val="0051603C"/>
    <w:rsid w:val="0051634B"/>
    <w:rsid w:val="00516609"/>
    <w:rsid w:val="005169F1"/>
    <w:rsid w:val="00516A87"/>
    <w:rsid w:val="00516AD7"/>
    <w:rsid w:val="00516E1C"/>
    <w:rsid w:val="0051721F"/>
    <w:rsid w:val="005173F3"/>
    <w:rsid w:val="00517947"/>
    <w:rsid w:val="005179DA"/>
    <w:rsid w:val="00517A87"/>
    <w:rsid w:val="0052019B"/>
    <w:rsid w:val="0052048C"/>
    <w:rsid w:val="00520591"/>
    <w:rsid w:val="00520668"/>
    <w:rsid w:val="00520819"/>
    <w:rsid w:val="00520E02"/>
    <w:rsid w:val="00520EE2"/>
    <w:rsid w:val="00521261"/>
    <w:rsid w:val="0052144C"/>
    <w:rsid w:val="0052185C"/>
    <w:rsid w:val="00521A99"/>
    <w:rsid w:val="00521F9D"/>
    <w:rsid w:val="005223D5"/>
    <w:rsid w:val="00522A78"/>
    <w:rsid w:val="00522F74"/>
    <w:rsid w:val="00523338"/>
    <w:rsid w:val="00523478"/>
    <w:rsid w:val="00523669"/>
    <w:rsid w:val="00523840"/>
    <w:rsid w:val="00523D03"/>
    <w:rsid w:val="00524AB3"/>
    <w:rsid w:val="00525096"/>
    <w:rsid w:val="0052528A"/>
    <w:rsid w:val="0052532D"/>
    <w:rsid w:val="005253D1"/>
    <w:rsid w:val="00525694"/>
    <w:rsid w:val="005257FC"/>
    <w:rsid w:val="005258CB"/>
    <w:rsid w:val="00525D15"/>
    <w:rsid w:val="00526269"/>
    <w:rsid w:val="00526BD2"/>
    <w:rsid w:val="00526FE4"/>
    <w:rsid w:val="005274B0"/>
    <w:rsid w:val="005276C7"/>
    <w:rsid w:val="00527A69"/>
    <w:rsid w:val="00527BAC"/>
    <w:rsid w:val="00527E32"/>
    <w:rsid w:val="005300B0"/>
    <w:rsid w:val="0053027D"/>
    <w:rsid w:val="00530686"/>
    <w:rsid w:val="00530A39"/>
    <w:rsid w:val="00530BFD"/>
    <w:rsid w:val="00530C63"/>
    <w:rsid w:val="00530EA3"/>
    <w:rsid w:val="0053110A"/>
    <w:rsid w:val="00531258"/>
    <w:rsid w:val="00531290"/>
    <w:rsid w:val="005328CA"/>
    <w:rsid w:val="00533110"/>
    <w:rsid w:val="00533768"/>
    <w:rsid w:val="0053397D"/>
    <w:rsid w:val="00533AA5"/>
    <w:rsid w:val="00533F7B"/>
    <w:rsid w:val="0053428A"/>
    <w:rsid w:val="00534C46"/>
    <w:rsid w:val="00534E13"/>
    <w:rsid w:val="00535011"/>
    <w:rsid w:val="005359C8"/>
    <w:rsid w:val="0053618E"/>
    <w:rsid w:val="00536501"/>
    <w:rsid w:val="00536A27"/>
    <w:rsid w:val="00537052"/>
    <w:rsid w:val="00537777"/>
    <w:rsid w:val="00537862"/>
    <w:rsid w:val="00537B00"/>
    <w:rsid w:val="005412FB"/>
    <w:rsid w:val="005415EC"/>
    <w:rsid w:val="00541727"/>
    <w:rsid w:val="0054231B"/>
    <w:rsid w:val="00542734"/>
    <w:rsid w:val="0054329C"/>
    <w:rsid w:val="00543451"/>
    <w:rsid w:val="0054351E"/>
    <w:rsid w:val="00543947"/>
    <w:rsid w:val="00543D55"/>
    <w:rsid w:val="00543E3F"/>
    <w:rsid w:val="00544014"/>
    <w:rsid w:val="0054462A"/>
    <w:rsid w:val="00544C54"/>
    <w:rsid w:val="0054528D"/>
    <w:rsid w:val="005458B4"/>
    <w:rsid w:val="00545EBB"/>
    <w:rsid w:val="00546089"/>
    <w:rsid w:val="005461A7"/>
    <w:rsid w:val="005461B0"/>
    <w:rsid w:val="005464F3"/>
    <w:rsid w:val="0054671F"/>
    <w:rsid w:val="00546B08"/>
    <w:rsid w:val="00546F9C"/>
    <w:rsid w:val="005470A3"/>
    <w:rsid w:val="00547292"/>
    <w:rsid w:val="00547461"/>
    <w:rsid w:val="00547582"/>
    <w:rsid w:val="00547629"/>
    <w:rsid w:val="005476D3"/>
    <w:rsid w:val="00547722"/>
    <w:rsid w:val="005477A4"/>
    <w:rsid w:val="00547916"/>
    <w:rsid w:val="0055056F"/>
    <w:rsid w:val="0055119D"/>
    <w:rsid w:val="005515EB"/>
    <w:rsid w:val="00551D2E"/>
    <w:rsid w:val="0055203E"/>
    <w:rsid w:val="005524B0"/>
    <w:rsid w:val="0055263C"/>
    <w:rsid w:val="00552D62"/>
    <w:rsid w:val="00553270"/>
    <w:rsid w:val="0055329D"/>
    <w:rsid w:val="00554094"/>
    <w:rsid w:val="00554217"/>
    <w:rsid w:val="005543A2"/>
    <w:rsid w:val="0055449A"/>
    <w:rsid w:val="00554632"/>
    <w:rsid w:val="0055465F"/>
    <w:rsid w:val="0055543C"/>
    <w:rsid w:val="005557C8"/>
    <w:rsid w:val="00555800"/>
    <w:rsid w:val="00555A34"/>
    <w:rsid w:val="00555A54"/>
    <w:rsid w:val="00555DE7"/>
    <w:rsid w:val="005561C1"/>
    <w:rsid w:val="005562FB"/>
    <w:rsid w:val="00556654"/>
    <w:rsid w:val="00556834"/>
    <w:rsid w:val="00556F30"/>
    <w:rsid w:val="0055704E"/>
    <w:rsid w:val="0055793D"/>
    <w:rsid w:val="00557EF5"/>
    <w:rsid w:val="00560066"/>
    <w:rsid w:val="0056076E"/>
    <w:rsid w:val="00560919"/>
    <w:rsid w:val="00560A66"/>
    <w:rsid w:val="00560A75"/>
    <w:rsid w:val="00561028"/>
    <w:rsid w:val="00561B19"/>
    <w:rsid w:val="00561ED2"/>
    <w:rsid w:val="0056223C"/>
    <w:rsid w:val="00562478"/>
    <w:rsid w:val="00562487"/>
    <w:rsid w:val="00562AB8"/>
    <w:rsid w:val="005632A9"/>
    <w:rsid w:val="0056366B"/>
    <w:rsid w:val="00563951"/>
    <w:rsid w:val="00563C58"/>
    <w:rsid w:val="00563EC5"/>
    <w:rsid w:val="0056450C"/>
    <w:rsid w:val="00564579"/>
    <w:rsid w:val="00564748"/>
    <w:rsid w:val="00564792"/>
    <w:rsid w:val="00565009"/>
    <w:rsid w:val="00565165"/>
    <w:rsid w:val="00565756"/>
    <w:rsid w:val="00565AC5"/>
    <w:rsid w:val="005660E8"/>
    <w:rsid w:val="005665D2"/>
    <w:rsid w:val="00566B25"/>
    <w:rsid w:val="00566EE6"/>
    <w:rsid w:val="00567128"/>
    <w:rsid w:val="0056787D"/>
    <w:rsid w:val="005678F7"/>
    <w:rsid w:val="00567E51"/>
    <w:rsid w:val="00570CD5"/>
    <w:rsid w:val="005711AD"/>
    <w:rsid w:val="0057123F"/>
    <w:rsid w:val="0057129C"/>
    <w:rsid w:val="0057173E"/>
    <w:rsid w:val="00571B41"/>
    <w:rsid w:val="005724CE"/>
    <w:rsid w:val="005726E0"/>
    <w:rsid w:val="00572B0E"/>
    <w:rsid w:val="00572B69"/>
    <w:rsid w:val="00573098"/>
    <w:rsid w:val="005739CE"/>
    <w:rsid w:val="00573C9E"/>
    <w:rsid w:val="00574196"/>
    <w:rsid w:val="0057477C"/>
    <w:rsid w:val="00574B23"/>
    <w:rsid w:val="005751DD"/>
    <w:rsid w:val="005755A6"/>
    <w:rsid w:val="00575C50"/>
    <w:rsid w:val="00575E27"/>
    <w:rsid w:val="00576138"/>
    <w:rsid w:val="00576616"/>
    <w:rsid w:val="00576647"/>
    <w:rsid w:val="00576E21"/>
    <w:rsid w:val="00576EDB"/>
    <w:rsid w:val="00577689"/>
    <w:rsid w:val="00577CD6"/>
    <w:rsid w:val="00580FE1"/>
    <w:rsid w:val="00581100"/>
    <w:rsid w:val="00581422"/>
    <w:rsid w:val="005814EF"/>
    <w:rsid w:val="00581607"/>
    <w:rsid w:val="00581668"/>
    <w:rsid w:val="0058168B"/>
    <w:rsid w:val="0058181C"/>
    <w:rsid w:val="005823B2"/>
    <w:rsid w:val="00582F67"/>
    <w:rsid w:val="00583897"/>
    <w:rsid w:val="00583A7B"/>
    <w:rsid w:val="00583B9D"/>
    <w:rsid w:val="00583C05"/>
    <w:rsid w:val="00584501"/>
    <w:rsid w:val="00584618"/>
    <w:rsid w:val="00584987"/>
    <w:rsid w:val="00584C57"/>
    <w:rsid w:val="0058566C"/>
    <w:rsid w:val="0058590F"/>
    <w:rsid w:val="00586172"/>
    <w:rsid w:val="005864FB"/>
    <w:rsid w:val="00586610"/>
    <w:rsid w:val="005869E6"/>
    <w:rsid w:val="005869EB"/>
    <w:rsid w:val="00586C7E"/>
    <w:rsid w:val="005870EF"/>
    <w:rsid w:val="00587201"/>
    <w:rsid w:val="0058756C"/>
    <w:rsid w:val="0058783B"/>
    <w:rsid w:val="00587CA0"/>
    <w:rsid w:val="00590126"/>
    <w:rsid w:val="00590979"/>
    <w:rsid w:val="00590D90"/>
    <w:rsid w:val="0059174C"/>
    <w:rsid w:val="0059254D"/>
    <w:rsid w:val="005925A4"/>
    <w:rsid w:val="005925B1"/>
    <w:rsid w:val="0059260C"/>
    <w:rsid w:val="00592987"/>
    <w:rsid w:val="00592D84"/>
    <w:rsid w:val="00592F1B"/>
    <w:rsid w:val="00593139"/>
    <w:rsid w:val="005939C6"/>
    <w:rsid w:val="00593E2D"/>
    <w:rsid w:val="0059444E"/>
    <w:rsid w:val="00594CC1"/>
    <w:rsid w:val="00594E6C"/>
    <w:rsid w:val="0059580F"/>
    <w:rsid w:val="00595A9A"/>
    <w:rsid w:val="005963A2"/>
    <w:rsid w:val="005968C4"/>
    <w:rsid w:val="005969BF"/>
    <w:rsid w:val="005969DB"/>
    <w:rsid w:val="00597870"/>
    <w:rsid w:val="00597D48"/>
    <w:rsid w:val="00597FB9"/>
    <w:rsid w:val="005A01AD"/>
    <w:rsid w:val="005A0361"/>
    <w:rsid w:val="005A050D"/>
    <w:rsid w:val="005A0831"/>
    <w:rsid w:val="005A0ECB"/>
    <w:rsid w:val="005A1CF8"/>
    <w:rsid w:val="005A22B3"/>
    <w:rsid w:val="005A2331"/>
    <w:rsid w:val="005A2339"/>
    <w:rsid w:val="005A2870"/>
    <w:rsid w:val="005A28FA"/>
    <w:rsid w:val="005A291D"/>
    <w:rsid w:val="005A2E12"/>
    <w:rsid w:val="005A42CB"/>
    <w:rsid w:val="005A4583"/>
    <w:rsid w:val="005A4916"/>
    <w:rsid w:val="005A4A75"/>
    <w:rsid w:val="005A50CF"/>
    <w:rsid w:val="005A59EC"/>
    <w:rsid w:val="005A5B15"/>
    <w:rsid w:val="005A5DC3"/>
    <w:rsid w:val="005A5E42"/>
    <w:rsid w:val="005A6173"/>
    <w:rsid w:val="005A6A8A"/>
    <w:rsid w:val="005A6E21"/>
    <w:rsid w:val="005A6FE2"/>
    <w:rsid w:val="005A706A"/>
    <w:rsid w:val="005A74D0"/>
    <w:rsid w:val="005A75ED"/>
    <w:rsid w:val="005A784F"/>
    <w:rsid w:val="005A7CE1"/>
    <w:rsid w:val="005B03F4"/>
    <w:rsid w:val="005B0840"/>
    <w:rsid w:val="005B0D9D"/>
    <w:rsid w:val="005B100C"/>
    <w:rsid w:val="005B15B4"/>
    <w:rsid w:val="005B1A0F"/>
    <w:rsid w:val="005B1E64"/>
    <w:rsid w:val="005B26CD"/>
    <w:rsid w:val="005B2B94"/>
    <w:rsid w:val="005B2C41"/>
    <w:rsid w:val="005B3889"/>
    <w:rsid w:val="005B3B9F"/>
    <w:rsid w:val="005B410D"/>
    <w:rsid w:val="005B4190"/>
    <w:rsid w:val="005B4643"/>
    <w:rsid w:val="005B48A1"/>
    <w:rsid w:val="005B49B8"/>
    <w:rsid w:val="005B49C3"/>
    <w:rsid w:val="005B5E27"/>
    <w:rsid w:val="005B6DC6"/>
    <w:rsid w:val="005B6E78"/>
    <w:rsid w:val="005B6F37"/>
    <w:rsid w:val="005B7DF4"/>
    <w:rsid w:val="005B7EF9"/>
    <w:rsid w:val="005B7F5B"/>
    <w:rsid w:val="005B7FAE"/>
    <w:rsid w:val="005C0355"/>
    <w:rsid w:val="005C04F6"/>
    <w:rsid w:val="005C0F0D"/>
    <w:rsid w:val="005C10EE"/>
    <w:rsid w:val="005C18B8"/>
    <w:rsid w:val="005C27A8"/>
    <w:rsid w:val="005C2B11"/>
    <w:rsid w:val="005C2B4E"/>
    <w:rsid w:val="005C2D7B"/>
    <w:rsid w:val="005C2DE5"/>
    <w:rsid w:val="005C2E4B"/>
    <w:rsid w:val="005C3DFC"/>
    <w:rsid w:val="005C4292"/>
    <w:rsid w:val="005C43A4"/>
    <w:rsid w:val="005C4418"/>
    <w:rsid w:val="005C4548"/>
    <w:rsid w:val="005C4EF4"/>
    <w:rsid w:val="005C4F35"/>
    <w:rsid w:val="005C551F"/>
    <w:rsid w:val="005C5909"/>
    <w:rsid w:val="005C5B8A"/>
    <w:rsid w:val="005C5BBC"/>
    <w:rsid w:val="005C5E17"/>
    <w:rsid w:val="005C6409"/>
    <w:rsid w:val="005C6DAB"/>
    <w:rsid w:val="005C720B"/>
    <w:rsid w:val="005C7358"/>
    <w:rsid w:val="005C7371"/>
    <w:rsid w:val="005C7419"/>
    <w:rsid w:val="005C7D4C"/>
    <w:rsid w:val="005C7D90"/>
    <w:rsid w:val="005D0156"/>
    <w:rsid w:val="005D02ED"/>
    <w:rsid w:val="005D056D"/>
    <w:rsid w:val="005D0797"/>
    <w:rsid w:val="005D0E20"/>
    <w:rsid w:val="005D1739"/>
    <w:rsid w:val="005D1B21"/>
    <w:rsid w:val="005D1B9F"/>
    <w:rsid w:val="005D1BA4"/>
    <w:rsid w:val="005D1D0C"/>
    <w:rsid w:val="005D22B5"/>
    <w:rsid w:val="005D263C"/>
    <w:rsid w:val="005D2C6B"/>
    <w:rsid w:val="005D3853"/>
    <w:rsid w:val="005D3A1D"/>
    <w:rsid w:val="005D3B8B"/>
    <w:rsid w:val="005D4169"/>
    <w:rsid w:val="005D46B5"/>
    <w:rsid w:val="005D4703"/>
    <w:rsid w:val="005D4823"/>
    <w:rsid w:val="005D4ADA"/>
    <w:rsid w:val="005D4D89"/>
    <w:rsid w:val="005D4E33"/>
    <w:rsid w:val="005D5A45"/>
    <w:rsid w:val="005D5D02"/>
    <w:rsid w:val="005D606C"/>
    <w:rsid w:val="005D6090"/>
    <w:rsid w:val="005D6892"/>
    <w:rsid w:val="005D68B6"/>
    <w:rsid w:val="005D6B9F"/>
    <w:rsid w:val="005D6C0F"/>
    <w:rsid w:val="005D6E7C"/>
    <w:rsid w:val="005D7102"/>
    <w:rsid w:val="005D7B4A"/>
    <w:rsid w:val="005D7DC9"/>
    <w:rsid w:val="005D7E50"/>
    <w:rsid w:val="005D7F9D"/>
    <w:rsid w:val="005E038C"/>
    <w:rsid w:val="005E03B4"/>
    <w:rsid w:val="005E12DC"/>
    <w:rsid w:val="005E1367"/>
    <w:rsid w:val="005E158A"/>
    <w:rsid w:val="005E16CC"/>
    <w:rsid w:val="005E1FC5"/>
    <w:rsid w:val="005E2043"/>
    <w:rsid w:val="005E2391"/>
    <w:rsid w:val="005E2CBA"/>
    <w:rsid w:val="005E2CE0"/>
    <w:rsid w:val="005E32BD"/>
    <w:rsid w:val="005E389D"/>
    <w:rsid w:val="005E3C95"/>
    <w:rsid w:val="005E3FDC"/>
    <w:rsid w:val="005E4302"/>
    <w:rsid w:val="005E43B8"/>
    <w:rsid w:val="005E4A73"/>
    <w:rsid w:val="005E4CD2"/>
    <w:rsid w:val="005E50E6"/>
    <w:rsid w:val="005E521D"/>
    <w:rsid w:val="005E5469"/>
    <w:rsid w:val="005E56DC"/>
    <w:rsid w:val="005E5826"/>
    <w:rsid w:val="005E5C85"/>
    <w:rsid w:val="005E5F6C"/>
    <w:rsid w:val="005E629A"/>
    <w:rsid w:val="005E63C3"/>
    <w:rsid w:val="005E6C75"/>
    <w:rsid w:val="005E7250"/>
    <w:rsid w:val="005E74C9"/>
    <w:rsid w:val="005E751B"/>
    <w:rsid w:val="005E7814"/>
    <w:rsid w:val="005E78F0"/>
    <w:rsid w:val="005E7D47"/>
    <w:rsid w:val="005E7FE0"/>
    <w:rsid w:val="005F036B"/>
    <w:rsid w:val="005F099D"/>
    <w:rsid w:val="005F0DF4"/>
    <w:rsid w:val="005F0FED"/>
    <w:rsid w:val="005F125A"/>
    <w:rsid w:val="005F204B"/>
    <w:rsid w:val="005F22A0"/>
    <w:rsid w:val="005F2343"/>
    <w:rsid w:val="005F25C2"/>
    <w:rsid w:val="005F296F"/>
    <w:rsid w:val="005F3049"/>
    <w:rsid w:val="005F319B"/>
    <w:rsid w:val="005F32FF"/>
    <w:rsid w:val="005F391C"/>
    <w:rsid w:val="005F3A45"/>
    <w:rsid w:val="005F3A75"/>
    <w:rsid w:val="005F452C"/>
    <w:rsid w:val="005F4C06"/>
    <w:rsid w:val="005F4CC4"/>
    <w:rsid w:val="005F4E20"/>
    <w:rsid w:val="005F52D4"/>
    <w:rsid w:val="005F531A"/>
    <w:rsid w:val="005F54AC"/>
    <w:rsid w:val="005F56BD"/>
    <w:rsid w:val="005F5FB4"/>
    <w:rsid w:val="005F6174"/>
    <w:rsid w:val="005F6511"/>
    <w:rsid w:val="005F70EE"/>
    <w:rsid w:val="005F7352"/>
    <w:rsid w:val="005F75C5"/>
    <w:rsid w:val="005F7D45"/>
    <w:rsid w:val="005F7E9D"/>
    <w:rsid w:val="00600276"/>
    <w:rsid w:val="00600920"/>
    <w:rsid w:val="00601707"/>
    <w:rsid w:val="006019FC"/>
    <w:rsid w:val="00601AB4"/>
    <w:rsid w:val="00601EF9"/>
    <w:rsid w:val="00603389"/>
    <w:rsid w:val="006033FE"/>
    <w:rsid w:val="00603505"/>
    <w:rsid w:val="00603FBA"/>
    <w:rsid w:val="00604248"/>
    <w:rsid w:val="00604664"/>
    <w:rsid w:val="00604A6F"/>
    <w:rsid w:val="00604F9F"/>
    <w:rsid w:val="006050D5"/>
    <w:rsid w:val="006050DD"/>
    <w:rsid w:val="00605183"/>
    <w:rsid w:val="00605292"/>
    <w:rsid w:val="006053D3"/>
    <w:rsid w:val="00606AE4"/>
    <w:rsid w:val="00607182"/>
    <w:rsid w:val="00607B83"/>
    <w:rsid w:val="00607CC7"/>
    <w:rsid w:val="00610041"/>
    <w:rsid w:val="006104A6"/>
    <w:rsid w:val="00610984"/>
    <w:rsid w:val="00610DA1"/>
    <w:rsid w:val="00611308"/>
    <w:rsid w:val="006113EB"/>
    <w:rsid w:val="006117A7"/>
    <w:rsid w:val="006117B3"/>
    <w:rsid w:val="00611A57"/>
    <w:rsid w:val="00611BE3"/>
    <w:rsid w:val="00611EE7"/>
    <w:rsid w:val="00612580"/>
    <w:rsid w:val="0061272F"/>
    <w:rsid w:val="00612893"/>
    <w:rsid w:val="00612D45"/>
    <w:rsid w:val="00612D55"/>
    <w:rsid w:val="00612E27"/>
    <w:rsid w:val="00612F40"/>
    <w:rsid w:val="006135D4"/>
    <w:rsid w:val="00613861"/>
    <w:rsid w:val="00613AA4"/>
    <w:rsid w:val="00614A8C"/>
    <w:rsid w:val="00614E19"/>
    <w:rsid w:val="00614F2B"/>
    <w:rsid w:val="0061507F"/>
    <w:rsid w:val="00615811"/>
    <w:rsid w:val="00615EAA"/>
    <w:rsid w:val="00615FB6"/>
    <w:rsid w:val="00616291"/>
    <w:rsid w:val="00616A3A"/>
    <w:rsid w:val="00617197"/>
    <w:rsid w:val="006171F7"/>
    <w:rsid w:val="00617B6A"/>
    <w:rsid w:val="00617C80"/>
    <w:rsid w:val="00617D1C"/>
    <w:rsid w:val="00617E8C"/>
    <w:rsid w:val="00620164"/>
    <w:rsid w:val="006209EC"/>
    <w:rsid w:val="00620AD1"/>
    <w:rsid w:val="00620AE5"/>
    <w:rsid w:val="006213BA"/>
    <w:rsid w:val="00621C5A"/>
    <w:rsid w:val="00622060"/>
    <w:rsid w:val="006225DE"/>
    <w:rsid w:val="00622CE8"/>
    <w:rsid w:val="00622D0E"/>
    <w:rsid w:val="00622DDA"/>
    <w:rsid w:val="006232B3"/>
    <w:rsid w:val="0062346D"/>
    <w:rsid w:val="00623482"/>
    <w:rsid w:val="006234BA"/>
    <w:rsid w:val="0062358A"/>
    <w:rsid w:val="006235BC"/>
    <w:rsid w:val="006246C2"/>
    <w:rsid w:val="006249E7"/>
    <w:rsid w:val="00624DCB"/>
    <w:rsid w:val="00624F7D"/>
    <w:rsid w:val="0062538E"/>
    <w:rsid w:val="0062558D"/>
    <w:rsid w:val="006255AB"/>
    <w:rsid w:val="00625A40"/>
    <w:rsid w:val="00625BAC"/>
    <w:rsid w:val="00625D03"/>
    <w:rsid w:val="00626599"/>
    <w:rsid w:val="00626D1A"/>
    <w:rsid w:val="00626F59"/>
    <w:rsid w:val="00627461"/>
    <w:rsid w:val="00627492"/>
    <w:rsid w:val="00627873"/>
    <w:rsid w:val="006278A1"/>
    <w:rsid w:val="00627985"/>
    <w:rsid w:val="00627A29"/>
    <w:rsid w:val="00627D89"/>
    <w:rsid w:val="00630E9B"/>
    <w:rsid w:val="00630EDB"/>
    <w:rsid w:val="0063108E"/>
    <w:rsid w:val="006310D9"/>
    <w:rsid w:val="00631266"/>
    <w:rsid w:val="006313DB"/>
    <w:rsid w:val="006316EC"/>
    <w:rsid w:val="00631BD6"/>
    <w:rsid w:val="00631DDC"/>
    <w:rsid w:val="00631EE8"/>
    <w:rsid w:val="00632007"/>
    <w:rsid w:val="0063241F"/>
    <w:rsid w:val="00632E2C"/>
    <w:rsid w:val="006330AB"/>
    <w:rsid w:val="0063326F"/>
    <w:rsid w:val="00633FFF"/>
    <w:rsid w:val="00634F70"/>
    <w:rsid w:val="006353CB"/>
    <w:rsid w:val="006360C6"/>
    <w:rsid w:val="0063615A"/>
    <w:rsid w:val="0063623A"/>
    <w:rsid w:val="006366AE"/>
    <w:rsid w:val="00636DF0"/>
    <w:rsid w:val="00637568"/>
    <w:rsid w:val="006376D7"/>
    <w:rsid w:val="006379D7"/>
    <w:rsid w:val="00637C12"/>
    <w:rsid w:val="00637C27"/>
    <w:rsid w:val="00637C9E"/>
    <w:rsid w:val="00637DCD"/>
    <w:rsid w:val="00637E99"/>
    <w:rsid w:val="00637F13"/>
    <w:rsid w:val="006404D5"/>
    <w:rsid w:val="006404EE"/>
    <w:rsid w:val="006405A7"/>
    <w:rsid w:val="0064088C"/>
    <w:rsid w:val="00641492"/>
    <w:rsid w:val="0064153D"/>
    <w:rsid w:val="00641EE9"/>
    <w:rsid w:val="00641EF6"/>
    <w:rsid w:val="00642039"/>
    <w:rsid w:val="0064246C"/>
    <w:rsid w:val="00642916"/>
    <w:rsid w:val="00642E23"/>
    <w:rsid w:val="00642FC0"/>
    <w:rsid w:val="006435FB"/>
    <w:rsid w:val="006436E3"/>
    <w:rsid w:val="0064380D"/>
    <w:rsid w:val="00643B65"/>
    <w:rsid w:val="00643EA2"/>
    <w:rsid w:val="00644FBB"/>
    <w:rsid w:val="0064512F"/>
    <w:rsid w:val="00645359"/>
    <w:rsid w:val="0064587C"/>
    <w:rsid w:val="00645936"/>
    <w:rsid w:val="00645E61"/>
    <w:rsid w:val="00646513"/>
    <w:rsid w:val="00647134"/>
    <w:rsid w:val="00647301"/>
    <w:rsid w:val="00647921"/>
    <w:rsid w:val="00647967"/>
    <w:rsid w:val="00647E1F"/>
    <w:rsid w:val="00647E43"/>
    <w:rsid w:val="0065015C"/>
    <w:rsid w:val="00650582"/>
    <w:rsid w:val="00650BE4"/>
    <w:rsid w:val="0065121C"/>
    <w:rsid w:val="00651429"/>
    <w:rsid w:val="00651606"/>
    <w:rsid w:val="00651714"/>
    <w:rsid w:val="00651750"/>
    <w:rsid w:val="00651979"/>
    <w:rsid w:val="00651996"/>
    <w:rsid w:val="00651FEE"/>
    <w:rsid w:val="00652440"/>
    <w:rsid w:val="0065270F"/>
    <w:rsid w:val="00652BF4"/>
    <w:rsid w:val="0065307A"/>
    <w:rsid w:val="0065328E"/>
    <w:rsid w:val="0065374D"/>
    <w:rsid w:val="00653D44"/>
    <w:rsid w:val="00653ED3"/>
    <w:rsid w:val="006549EE"/>
    <w:rsid w:val="00654E67"/>
    <w:rsid w:val="00655E36"/>
    <w:rsid w:val="006561D7"/>
    <w:rsid w:val="006569F7"/>
    <w:rsid w:val="00656EE5"/>
    <w:rsid w:val="00657170"/>
    <w:rsid w:val="00657310"/>
    <w:rsid w:val="00657A91"/>
    <w:rsid w:val="00657D3B"/>
    <w:rsid w:val="00657DAF"/>
    <w:rsid w:val="00657DC6"/>
    <w:rsid w:val="00657EA2"/>
    <w:rsid w:val="006605AF"/>
    <w:rsid w:val="006606A7"/>
    <w:rsid w:val="0066080B"/>
    <w:rsid w:val="00660833"/>
    <w:rsid w:val="00660968"/>
    <w:rsid w:val="006609DF"/>
    <w:rsid w:val="00660A4B"/>
    <w:rsid w:val="00660A68"/>
    <w:rsid w:val="00661B34"/>
    <w:rsid w:val="00661F12"/>
    <w:rsid w:val="0066221A"/>
    <w:rsid w:val="0066253E"/>
    <w:rsid w:val="00662879"/>
    <w:rsid w:val="00662B93"/>
    <w:rsid w:val="00662DB3"/>
    <w:rsid w:val="0066300A"/>
    <w:rsid w:val="00663E91"/>
    <w:rsid w:val="00664021"/>
    <w:rsid w:val="0066406E"/>
    <w:rsid w:val="006648A4"/>
    <w:rsid w:val="006648AB"/>
    <w:rsid w:val="006650A9"/>
    <w:rsid w:val="00665269"/>
    <w:rsid w:val="0066536F"/>
    <w:rsid w:val="00665BBF"/>
    <w:rsid w:val="0066638B"/>
    <w:rsid w:val="006663E9"/>
    <w:rsid w:val="006665B2"/>
    <w:rsid w:val="00666B94"/>
    <w:rsid w:val="00667609"/>
    <w:rsid w:val="00667B4D"/>
    <w:rsid w:val="00667F4F"/>
    <w:rsid w:val="00670075"/>
    <w:rsid w:val="00670523"/>
    <w:rsid w:val="0067103C"/>
    <w:rsid w:val="0067171D"/>
    <w:rsid w:val="006718E1"/>
    <w:rsid w:val="00671B8B"/>
    <w:rsid w:val="00672267"/>
    <w:rsid w:val="00672336"/>
    <w:rsid w:val="00673072"/>
    <w:rsid w:val="00673934"/>
    <w:rsid w:val="00673D5F"/>
    <w:rsid w:val="006752E7"/>
    <w:rsid w:val="00675F04"/>
    <w:rsid w:val="00676F00"/>
    <w:rsid w:val="006771BE"/>
    <w:rsid w:val="006773B8"/>
    <w:rsid w:val="0067759E"/>
    <w:rsid w:val="00677AEE"/>
    <w:rsid w:val="00677C0D"/>
    <w:rsid w:val="006800E5"/>
    <w:rsid w:val="006802A4"/>
    <w:rsid w:val="006806D2"/>
    <w:rsid w:val="00680CED"/>
    <w:rsid w:val="00681160"/>
    <w:rsid w:val="00682E3B"/>
    <w:rsid w:val="006835A6"/>
    <w:rsid w:val="0068360E"/>
    <w:rsid w:val="00683EAB"/>
    <w:rsid w:val="00683F6D"/>
    <w:rsid w:val="00684150"/>
    <w:rsid w:val="0068444C"/>
    <w:rsid w:val="006846AD"/>
    <w:rsid w:val="00684B14"/>
    <w:rsid w:val="00684F7A"/>
    <w:rsid w:val="00685A31"/>
    <w:rsid w:val="00685C18"/>
    <w:rsid w:val="00686F7A"/>
    <w:rsid w:val="006901A1"/>
    <w:rsid w:val="0069024A"/>
    <w:rsid w:val="0069069D"/>
    <w:rsid w:val="006908D7"/>
    <w:rsid w:val="00690977"/>
    <w:rsid w:val="00690E32"/>
    <w:rsid w:val="00691902"/>
    <w:rsid w:val="006926A3"/>
    <w:rsid w:val="006928B2"/>
    <w:rsid w:val="00692B05"/>
    <w:rsid w:val="00692EAD"/>
    <w:rsid w:val="006932DA"/>
    <w:rsid w:val="006938CC"/>
    <w:rsid w:val="00693A68"/>
    <w:rsid w:val="006940CC"/>
    <w:rsid w:val="00694179"/>
    <w:rsid w:val="0069437B"/>
    <w:rsid w:val="00694A88"/>
    <w:rsid w:val="00694BA3"/>
    <w:rsid w:val="00694E14"/>
    <w:rsid w:val="00695F07"/>
    <w:rsid w:val="00695F93"/>
    <w:rsid w:val="00696355"/>
    <w:rsid w:val="00696A1A"/>
    <w:rsid w:val="00696AB0"/>
    <w:rsid w:val="00696BC2"/>
    <w:rsid w:val="00696C51"/>
    <w:rsid w:val="00696E58"/>
    <w:rsid w:val="0069735F"/>
    <w:rsid w:val="006977FF"/>
    <w:rsid w:val="0069781D"/>
    <w:rsid w:val="00697AFF"/>
    <w:rsid w:val="00697D8A"/>
    <w:rsid w:val="00697FD0"/>
    <w:rsid w:val="006A0395"/>
    <w:rsid w:val="006A149A"/>
    <w:rsid w:val="006A17B3"/>
    <w:rsid w:val="006A2246"/>
    <w:rsid w:val="006A230E"/>
    <w:rsid w:val="006A2E40"/>
    <w:rsid w:val="006A3299"/>
    <w:rsid w:val="006A36CD"/>
    <w:rsid w:val="006A418C"/>
    <w:rsid w:val="006A4CE7"/>
    <w:rsid w:val="006A5050"/>
    <w:rsid w:val="006A510A"/>
    <w:rsid w:val="006A525D"/>
    <w:rsid w:val="006A54AA"/>
    <w:rsid w:val="006A5640"/>
    <w:rsid w:val="006A5D32"/>
    <w:rsid w:val="006A5EE3"/>
    <w:rsid w:val="006A6045"/>
    <w:rsid w:val="006A651F"/>
    <w:rsid w:val="006A7082"/>
    <w:rsid w:val="006A717D"/>
    <w:rsid w:val="006A7376"/>
    <w:rsid w:val="006A773C"/>
    <w:rsid w:val="006A7B54"/>
    <w:rsid w:val="006A7E09"/>
    <w:rsid w:val="006A7E76"/>
    <w:rsid w:val="006A7F8D"/>
    <w:rsid w:val="006B022B"/>
    <w:rsid w:val="006B027D"/>
    <w:rsid w:val="006B0CF7"/>
    <w:rsid w:val="006B128B"/>
    <w:rsid w:val="006B14ED"/>
    <w:rsid w:val="006B15EE"/>
    <w:rsid w:val="006B17E7"/>
    <w:rsid w:val="006B1901"/>
    <w:rsid w:val="006B21B8"/>
    <w:rsid w:val="006B21BE"/>
    <w:rsid w:val="006B24EF"/>
    <w:rsid w:val="006B2A24"/>
    <w:rsid w:val="006B2E76"/>
    <w:rsid w:val="006B2FFF"/>
    <w:rsid w:val="006B31D3"/>
    <w:rsid w:val="006B3358"/>
    <w:rsid w:val="006B37F6"/>
    <w:rsid w:val="006B3880"/>
    <w:rsid w:val="006B3A0D"/>
    <w:rsid w:val="006B3B68"/>
    <w:rsid w:val="006B3C6E"/>
    <w:rsid w:val="006B3CC5"/>
    <w:rsid w:val="006B403F"/>
    <w:rsid w:val="006B42D1"/>
    <w:rsid w:val="006B4302"/>
    <w:rsid w:val="006B503F"/>
    <w:rsid w:val="006B555B"/>
    <w:rsid w:val="006B589D"/>
    <w:rsid w:val="006B5A3E"/>
    <w:rsid w:val="006B5D18"/>
    <w:rsid w:val="006B5E27"/>
    <w:rsid w:val="006B5F11"/>
    <w:rsid w:val="006B614D"/>
    <w:rsid w:val="006B6339"/>
    <w:rsid w:val="006B6CEC"/>
    <w:rsid w:val="006B7015"/>
    <w:rsid w:val="006B7018"/>
    <w:rsid w:val="006B75CA"/>
    <w:rsid w:val="006B7E5A"/>
    <w:rsid w:val="006C0052"/>
    <w:rsid w:val="006C046F"/>
    <w:rsid w:val="006C04B4"/>
    <w:rsid w:val="006C070C"/>
    <w:rsid w:val="006C0C08"/>
    <w:rsid w:val="006C0EE1"/>
    <w:rsid w:val="006C1323"/>
    <w:rsid w:val="006C220C"/>
    <w:rsid w:val="006C262F"/>
    <w:rsid w:val="006C2C84"/>
    <w:rsid w:val="006C3CC1"/>
    <w:rsid w:val="006C3D63"/>
    <w:rsid w:val="006C435D"/>
    <w:rsid w:val="006C4A36"/>
    <w:rsid w:val="006C508B"/>
    <w:rsid w:val="006C6041"/>
    <w:rsid w:val="006C610E"/>
    <w:rsid w:val="006C639D"/>
    <w:rsid w:val="006C65C1"/>
    <w:rsid w:val="006C6C36"/>
    <w:rsid w:val="006D0690"/>
    <w:rsid w:val="006D0C55"/>
    <w:rsid w:val="006D0D66"/>
    <w:rsid w:val="006D0F53"/>
    <w:rsid w:val="006D1427"/>
    <w:rsid w:val="006D1A53"/>
    <w:rsid w:val="006D1EBF"/>
    <w:rsid w:val="006D2CAE"/>
    <w:rsid w:val="006D38F3"/>
    <w:rsid w:val="006D3AC2"/>
    <w:rsid w:val="006D3B75"/>
    <w:rsid w:val="006D3E8C"/>
    <w:rsid w:val="006D3E8F"/>
    <w:rsid w:val="006D42F9"/>
    <w:rsid w:val="006D4435"/>
    <w:rsid w:val="006D4A8E"/>
    <w:rsid w:val="006D4CB4"/>
    <w:rsid w:val="006D5048"/>
    <w:rsid w:val="006D51F6"/>
    <w:rsid w:val="006D539A"/>
    <w:rsid w:val="006D6A97"/>
    <w:rsid w:val="006D7AB4"/>
    <w:rsid w:val="006E0177"/>
    <w:rsid w:val="006E064B"/>
    <w:rsid w:val="006E1650"/>
    <w:rsid w:val="006E1785"/>
    <w:rsid w:val="006E17FD"/>
    <w:rsid w:val="006E18B2"/>
    <w:rsid w:val="006E1A83"/>
    <w:rsid w:val="006E1ED6"/>
    <w:rsid w:val="006E1FE2"/>
    <w:rsid w:val="006E2658"/>
    <w:rsid w:val="006E2A3A"/>
    <w:rsid w:val="006E2AB6"/>
    <w:rsid w:val="006E2DF6"/>
    <w:rsid w:val="006E3D38"/>
    <w:rsid w:val="006E3F0A"/>
    <w:rsid w:val="006E43A6"/>
    <w:rsid w:val="006E4E32"/>
    <w:rsid w:val="006E52B9"/>
    <w:rsid w:val="006E555E"/>
    <w:rsid w:val="006E5B17"/>
    <w:rsid w:val="006E6619"/>
    <w:rsid w:val="006E6C71"/>
    <w:rsid w:val="006E7112"/>
    <w:rsid w:val="006E7512"/>
    <w:rsid w:val="006E75BA"/>
    <w:rsid w:val="006E7D42"/>
    <w:rsid w:val="006F0384"/>
    <w:rsid w:val="006F072B"/>
    <w:rsid w:val="006F0767"/>
    <w:rsid w:val="006F07E9"/>
    <w:rsid w:val="006F08B7"/>
    <w:rsid w:val="006F0E44"/>
    <w:rsid w:val="006F0ECE"/>
    <w:rsid w:val="006F13B4"/>
    <w:rsid w:val="006F15CB"/>
    <w:rsid w:val="006F1D66"/>
    <w:rsid w:val="006F1EBC"/>
    <w:rsid w:val="006F214A"/>
    <w:rsid w:val="006F2356"/>
    <w:rsid w:val="006F2500"/>
    <w:rsid w:val="006F2B78"/>
    <w:rsid w:val="006F2ED4"/>
    <w:rsid w:val="006F304E"/>
    <w:rsid w:val="006F340C"/>
    <w:rsid w:val="006F35C6"/>
    <w:rsid w:val="006F3831"/>
    <w:rsid w:val="006F38DE"/>
    <w:rsid w:val="006F3EBA"/>
    <w:rsid w:val="006F458B"/>
    <w:rsid w:val="006F488E"/>
    <w:rsid w:val="006F4E97"/>
    <w:rsid w:val="006F550A"/>
    <w:rsid w:val="006F676D"/>
    <w:rsid w:val="006F6CDA"/>
    <w:rsid w:val="006F736C"/>
    <w:rsid w:val="006F74C1"/>
    <w:rsid w:val="006F7D71"/>
    <w:rsid w:val="00700049"/>
    <w:rsid w:val="007000D9"/>
    <w:rsid w:val="00700641"/>
    <w:rsid w:val="00700667"/>
    <w:rsid w:val="00700704"/>
    <w:rsid w:val="00700F8A"/>
    <w:rsid w:val="0070132A"/>
    <w:rsid w:val="00701B42"/>
    <w:rsid w:val="00701D57"/>
    <w:rsid w:val="007030C1"/>
    <w:rsid w:val="007033CD"/>
    <w:rsid w:val="00703749"/>
    <w:rsid w:val="00703B5D"/>
    <w:rsid w:val="00703D94"/>
    <w:rsid w:val="00703FB3"/>
    <w:rsid w:val="00704520"/>
    <w:rsid w:val="00705560"/>
    <w:rsid w:val="007058B7"/>
    <w:rsid w:val="00705D78"/>
    <w:rsid w:val="007062B3"/>
    <w:rsid w:val="00706B6F"/>
    <w:rsid w:val="00706CE3"/>
    <w:rsid w:val="00706E29"/>
    <w:rsid w:val="00707202"/>
    <w:rsid w:val="0070721D"/>
    <w:rsid w:val="00707345"/>
    <w:rsid w:val="0070770D"/>
    <w:rsid w:val="007077BF"/>
    <w:rsid w:val="00707C1C"/>
    <w:rsid w:val="00710388"/>
    <w:rsid w:val="007105A2"/>
    <w:rsid w:val="007106D1"/>
    <w:rsid w:val="00710828"/>
    <w:rsid w:val="00710BE4"/>
    <w:rsid w:val="0071160A"/>
    <w:rsid w:val="00711BF2"/>
    <w:rsid w:val="00711FB6"/>
    <w:rsid w:val="007126B0"/>
    <w:rsid w:val="00712724"/>
    <w:rsid w:val="00712E3A"/>
    <w:rsid w:val="007132B2"/>
    <w:rsid w:val="007132C6"/>
    <w:rsid w:val="00713A49"/>
    <w:rsid w:val="00714D74"/>
    <w:rsid w:val="00714F8E"/>
    <w:rsid w:val="00715070"/>
    <w:rsid w:val="00715168"/>
    <w:rsid w:val="00715C97"/>
    <w:rsid w:val="00715E69"/>
    <w:rsid w:val="007168CF"/>
    <w:rsid w:val="00716A9B"/>
    <w:rsid w:val="007175A8"/>
    <w:rsid w:val="00717776"/>
    <w:rsid w:val="00717784"/>
    <w:rsid w:val="00717B2A"/>
    <w:rsid w:val="00717D4F"/>
    <w:rsid w:val="007205EE"/>
    <w:rsid w:val="007209D1"/>
    <w:rsid w:val="00721AAF"/>
    <w:rsid w:val="00721AD8"/>
    <w:rsid w:val="00722159"/>
    <w:rsid w:val="007221E5"/>
    <w:rsid w:val="007225F2"/>
    <w:rsid w:val="007228A6"/>
    <w:rsid w:val="007234CC"/>
    <w:rsid w:val="00723A15"/>
    <w:rsid w:val="00723BEB"/>
    <w:rsid w:val="00724051"/>
    <w:rsid w:val="00724082"/>
    <w:rsid w:val="00724171"/>
    <w:rsid w:val="0072533F"/>
    <w:rsid w:val="00725FFE"/>
    <w:rsid w:val="0072659A"/>
    <w:rsid w:val="00726A1E"/>
    <w:rsid w:val="00726F0E"/>
    <w:rsid w:val="00727273"/>
    <w:rsid w:val="007274A6"/>
    <w:rsid w:val="007275D2"/>
    <w:rsid w:val="007277EC"/>
    <w:rsid w:val="007300F9"/>
    <w:rsid w:val="007303D9"/>
    <w:rsid w:val="00730405"/>
    <w:rsid w:val="007304DA"/>
    <w:rsid w:val="0073083D"/>
    <w:rsid w:val="00730A94"/>
    <w:rsid w:val="0073115D"/>
    <w:rsid w:val="00731615"/>
    <w:rsid w:val="00731DA9"/>
    <w:rsid w:val="00731F0A"/>
    <w:rsid w:val="0073205B"/>
    <w:rsid w:val="00732CEF"/>
    <w:rsid w:val="00732F12"/>
    <w:rsid w:val="00733363"/>
    <w:rsid w:val="00733855"/>
    <w:rsid w:val="00734474"/>
    <w:rsid w:val="007346AC"/>
    <w:rsid w:val="0073474B"/>
    <w:rsid w:val="007347DF"/>
    <w:rsid w:val="007348F3"/>
    <w:rsid w:val="00734C0B"/>
    <w:rsid w:val="00734CC9"/>
    <w:rsid w:val="00734CE2"/>
    <w:rsid w:val="00734E01"/>
    <w:rsid w:val="00735A4F"/>
    <w:rsid w:val="00735B7E"/>
    <w:rsid w:val="00735C85"/>
    <w:rsid w:val="00735DD3"/>
    <w:rsid w:val="00735E93"/>
    <w:rsid w:val="00735EB4"/>
    <w:rsid w:val="00735FB5"/>
    <w:rsid w:val="007360DA"/>
    <w:rsid w:val="00736850"/>
    <w:rsid w:val="00736BF4"/>
    <w:rsid w:val="00736FCF"/>
    <w:rsid w:val="00737A40"/>
    <w:rsid w:val="00737AB1"/>
    <w:rsid w:val="00737D14"/>
    <w:rsid w:val="00737E3C"/>
    <w:rsid w:val="00737F57"/>
    <w:rsid w:val="007400E1"/>
    <w:rsid w:val="007402BC"/>
    <w:rsid w:val="007418F9"/>
    <w:rsid w:val="00741B8C"/>
    <w:rsid w:val="00741DB4"/>
    <w:rsid w:val="00741E1A"/>
    <w:rsid w:val="00741E81"/>
    <w:rsid w:val="00742037"/>
    <w:rsid w:val="00742217"/>
    <w:rsid w:val="00742CB3"/>
    <w:rsid w:val="00742E36"/>
    <w:rsid w:val="007430B9"/>
    <w:rsid w:val="007430E1"/>
    <w:rsid w:val="00743E42"/>
    <w:rsid w:val="00743F80"/>
    <w:rsid w:val="00744D45"/>
    <w:rsid w:val="00744E52"/>
    <w:rsid w:val="00744ECB"/>
    <w:rsid w:val="007459EF"/>
    <w:rsid w:val="00746083"/>
    <w:rsid w:val="00746543"/>
    <w:rsid w:val="00746B1E"/>
    <w:rsid w:val="007471F2"/>
    <w:rsid w:val="00747514"/>
    <w:rsid w:val="00747955"/>
    <w:rsid w:val="00747A7C"/>
    <w:rsid w:val="00747C5A"/>
    <w:rsid w:val="00747FA4"/>
    <w:rsid w:val="00750946"/>
    <w:rsid w:val="007509F8"/>
    <w:rsid w:val="00750AFF"/>
    <w:rsid w:val="00751040"/>
    <w:rsid w:val="00751208"/>
    <w:rsid w:val="00751613"/>
    <w:rsid w:val="0075194F"/>
    <w:rsid w:val="00751F12"/>
    <w:rsid w:val="00752371"/>
    <w:rsid w:val="007525C1"/>
    <w:rsid w:val="0075275B"/>
    <w:rsid w:val="00752D40"/>
    <w:rsid w:val="0075361E"/>
    <w:rsid w:val="00753A84"/>
    <w:rsid w:val="00753DB0"/>
    <w:rsid w:val="00754135"/>
    <w:rsid w:val="007541C8"/>
    <w:rsid w:val="00754A78"/>
    <w:rsid w:val="00754C20"/>
    <w:rsid w:val="00755169"/>
    <w:rsid w:val="00755B00"/>
    <w:rsid w:val="00755C99"/>
    <w:rsid w:val="00755CD2"/>
    <w:rsid w:val="00756049"/>
    <w:rsid w:val="00756093"/>
    <w:rsid w:val="00756202"/>
    <w:rsid w:val="00756253"/>
    <w:rsid w:val="0075640B"/>
    <w:rsid w:val="0075688F"/>
    <w:rsid w:val="00756FDF"/>
    <w:rsid w:val="007572A8"/>
    <w:rsid w:val="007574BC"/>
    <w:rsid w:val="0076016B"/>
    <w:rsid w:val="00760313"/>
    <w:rsid w:val="00760700"/>
    <w:rsid w:val="00760CC7"/>
    <w:rsid w:val="007610FE"/>
    <w:rsid w:val="00761585"/>
    <w:rsid w:val="0076163B"/>
    <w:rsid w:val="00761BC3"/>
    <w:rsid w:val="00762226"/>
    <w:rsid w:val="00762D92"/>
    <w:rsid w:val="00762F29"/>
    <w:rsid w:val="00762F92"/>
    <w:rsid w:val="00762FA6"/>
    <w:rsid w:val="007638A0"/>
    <w:rsid w:val="007639D2"/>
    <w:rsid w:val="00763B83"/>
    <w:rsid w:val="0076403B"/>
    <w:rsid w:val="0076421A"/>
    <w:rsid w:val="007647AF"/>
    <w:rsid w:val="007647FB"/>
    <w:rsid w:val="00765072"/>
    <w:rsid w:val="007654C8"/>
    <w:rsid w:val="00765A7A"/>
    <w:rsid w:val="0076654E"/>
    <w:rsid w:val="00766709"/>
    <w:rsid w:val="0076694A"/>
    <w:rsid w:val="00766AEE"/>
    <w:rsid w:val="00766C9B"/>
    <w:rsid w:val="00766D59"/>
    <w:rsid w:val="00767266"/>
    <w:rsid w:val="00767A3F"/>
    <w:rsid w:val="00767AF1"/>
    <w:rsid w:val="00770003"/>
    <w:rsid w:val="00770159"/>
    <w:rsid w:val="00770270"/>
    <w:rsid w:val="007711B8"/>
    <w:rsid w:val="007712C0"/>
    <w:rsid w:val="007712FC"/>
    <w:rsid w:val="00771423"/>
    <w:rsid w:val="007717C0"/>
    <w:rsid w:val="0077266B"/>
    <w:rsid w:val="007730DE"/>
    <w:rsid w:val="007733F2"/>
    <w:rsid w:val="00773B0E"/>
    <w:rsid w:val="00773F77"/>
    <w:rsid w:val="00774086"/>
    <w:rsid w:val="0077464F"/>
    <w:rsid w:val="00774CC3"/>
    <w:rsid w:val="00774EDD"/>
    <w:rsid w:val="007754AA"/>
    <w:rsid w:val="00775A6D"/>
    <w:rsid w:val="00776B94"/>
    <w:rsid w:val="00777532"/>
    <w:rsid w:val="007804BA"/>
    <w:rsid w:val="007806C1"/>
    <w:rsid w:val="00780714"/>
    <w:rsid w:val="00780944"/>
    <w:rsid w:val="00780AE2"/>
    <w:rsid w:val="00780E6B"/>
    <w:rsid w:val="00780F71"/>
    <w:rsid w:val="007811D8"/>
    <w:rsid w:val="00781485"/>
    <w:rsid w:val="007814C4"/>
    <w:rsid w:val="0078163B"/>
    <w:rsid w:val="00781B87"/>
    <w:rsid w:val="00781D5D"/>
    <w:rsid w:val="00781F02"/>
    <w:rsid w:val="00781F7A"/>
    <w:rsid w:val="007827DB"/>
    <w:rsid w:val="00782C7F"/>
    <w:rsid w:val="00782CAE"/>
    <w:rsid w:val="00782CB4"/>
    <w:rsid w:val="00783399"/>
    <w:rsid w:val="007838CA"/>
    <w:rsid w:val="00783D5E"/>
    <w:rsid w:val="00783DB4"/>
    <w:rsid w:val="00784244"/>
    <w:rsid w:val="00784AE9"/>
    <w:rsid w:val="00784C3F"/>
    <w:rsid w:val="00784E64"/>
    <w:rsid w:val="007850A8"/>
    <w:rsid w:val="00785AEB"/>
    <w:rsid w:val="00785DED"/>
    <w:rsid w:val="00785E25"/>
    <w:rsid w:val="00785E93"/>
    <w:rsid w:val="0078621C"/>
    <w:rsid w:val="00786484"/>
    <w:rsid w:val="00786683"/>
    <w:rsid w:val="007867A5"/>
    <w:rsid w:val="00786ABD"/>
    <w:rsid w:val="00786B0F"/>
    <w:rsid w:val="00786CED"/>
    <w:rsid w:val="00787167"/>
    <w:rsid w:val="00787290"/>
    <w:rsid w:val="00787B44"/>
    <w:rsid w:val="00787C45"/>
    <w:rsid w:val="00787CB2"/>
    <w:rsid w:val="00787E39"/>
    <w:rsid w:val="007900D4"/>
    <w:rsid w:val="00790196"/>
    <w:rsid w:val="007903F9"/>
    <w:rsid w:val="007904E6"/>
    <w:rsid w:val="00790771"/>
    <w:rsid w:val="00790940"/>
    <w:rsid w:val="0079096B"/>
    <w:rsid w:val="007912EF"/>
    <w:rsid w:val="0079143D"/>
    <w:rsid w:val="00792B1A"/>
    <w:rsid w:val="00792B65"/>
    <w:rsid w:val="00792F8B"/>
    <w:rsid w:val="00793779"/>
    <w:rsid w:val="0079448F"/>
    <w:rsid w:val="00794569"/>
    <w:rsid w:val="007949EF"/>
    <w:rsid w:val="00794AB7"/>
    <w:rsid w:val="00794E81"/>
    <w:rsid w:val="0079503A"/>
    <w:rsid w:val="007951CD"/>
    <w:rsid w:val="00796060"/>
    <w:rsid w:val="0079667D"/>
    <w:rsid w:val="00796B12"/>
    <w:rsid w:val="00797043"/>
    <w:rsid w:val="007970C5"/>
    <w:rsid w:val="007978BD"/>
    <w:rsid w:val="007979AE"/>
    <w:rsid w:val="00797C52"/>
    <w:rsid w:val="00797C94"/>
    <w:rsid w:val="007A043C"/>
    <w:rsid w:val="007A1E77"/>
    <w:rsid w:val="007A1E86"/>
    <w:rsid w:val="007A23E1"/>
    <w:rsid w:val="007A2487"/>
    <w:rsid w:val="007A2537"/>
    <w:rsid w:val="007A261E"/>
    <w:rsid w:val="007A2AAF"/>
    <w:rsid w:val="007A2AC1"/>
    <w:rsid w:val="007A2CD1"/>
    <w:rsid w:val="007A2CF2"/>
    <w:rsid w:val="007A2D5C"/>
    <w:rsid w:val="007A30CA"/>
    <w:rsid w:val="007A44AE"/>
    <w:rsid w:val="007A4642"/>
    <w:rsid w:val="007A473F"/>
    <w:rsid w:val="007A478F"/>
    <w:rsid w:val="007A51BB"/>
    <w:rsid w:val="007A59F5"/>
    <w:rsid w:val="007A5F53"/>
    <w:rsid w:val="007A6102"/>
    <w:rsid w:val="007A690C"/>
    <w:rsid w:val="007A6E77"/>
    <w:rsid w:val="007A6EFF"/>
    <w:rsid w:val="007A7061"/>
    <w:rsid w:val="007A71E6"/>
    <w:rsid w:val="007A740A"/>
    <w:rsid w:val="007A78AD"/>
    <w:rsid w:val="007A7F28"/>
    <w:rsid w:val="007B01B7"/>
    <w:rsid w:val="007B05D0"/>
    <w:rsid w:val="007B0617"/>
    <w:rsid w:val="007B062A"/>
    <w:rsid w:val="007B0E81"/>
    <w:rsid w:val="007B0F21"/>
    <w:rsid w:val="007B127B"/>
    <w:rsid w:val="007B1BF2"/>
    <w:rsid w:val="007B1C64"/>
    <w:rsid w:val="007B252D"/>
    <w:rsid w:val="007B2E12"/>
    <w:rsid w:val="007B3037"/>
    <w:rsid w:val="007B35C9"/>
    <w:rsid w:val="007B3907"/>
    <w:rsid w:val="007B3B84"/>
    <w:rsid w:val="007B3C3F"/>
    <w:rsid w:val="007B3D8F"/>
    <w:rsid w:val="007B490E"/>
    <w:rsid w:val="007B4D35"/>
    <w:rsid w:val="007B54AB"/>
    <w:rsid w:val="007B59B9"/>
    <w:rsid w:val="007B5A27"/>
    <w:rsid w:val="007B5CA7"/>
    <w:rsid w:val="007B66D3"/>
    <w:rsid w:val="007B6797"/>
    <w:rsid w:val="007B6A82"/>
    <w:rsid w:val="007B753A"/>
    <w:rsid w:val="007C0036"/>
    <w:rsid w:val="007C01FE"/>
    <w:rsid w:val="007C0545"/>
    <w:rsid w:val="007C0BA4"/>
    <w:rsid w:val="007C0F3A"/>
    <w:rsid w:val="007C107C"/>
    <w:rsid w:val="007C113E"/>
    <w:rsid w:val="007C1201"/>
    <w:rsid w:val="007C156D"/>
    <w:rsid w:val="007C17DD"/>
    <w:rsid w:val="007C208A"/>
    <w:rsid w:val="007C2118"/>
    <w:rsid w:val="007C2268"/>
    <w:rsid w:val="007C240F"/>
    <w:rsid w:val="007C2753"/>
    <w:rsid w:val="007C2874"/>
    <w:rsid w:val="007C2A1E"/>
    <w:rsid w:val="007C2F9C"/>
    <w:rsid w:val="007C3275"/>
    <w:rsid w:val="007C38B6"/>
    <w:rsid w:val="007C3B06"/>
    <w:rsid w:val="007C3ECB"/>
    <w:rsid w:val="007C42BF"/>
    <w:rsid w:val="007C430B"/>
    <w:rsid w:val="007C4528"/>
    <w:rsid w:val="007C4806"/>
    <w:rsid w:val="007C49E0"/>
    <w:rsid w:val="007C49F3"/>
    <w:rsid w:val="007C4A12"/>
    <w:rsid w:val="007C50AE"/>
    <w:rsid w:val="007C5A2D"/>
    <w:rsid w:val="007C5C2D"/>
    <w:rsid w:val="007C5EF0"/>
    <w:rsid w:val="007C6426"/>
    <w:rsid w:val="007C6507"/>
    <w:rsid w:val="007C66C6"/>
    <w:rsid w:val="007C6C6A"/>
    <w:rsid w:val="007C74CB"/>
    <w:rsid w:val="007C76FB"/>
    <w:rsid w:val="007C7970"/>
    <w:rsid w:val="007C7C5F"/>
    <w:rsid w:val="007C7E16"/>
    <w:rsid w:val="007D04D8"/>
    <w:rsid w:val="007D0681"/>
    <w:rsid w:val="007D0C99"/>
    <w:rsid w:val="007D0C9C"/>
    <w:rsid w:val="007D0D91"/>
    <w:rsid w:val="007D0DFC"/>
    <w:rsid w:val="007D0E9D"/>
    <w:rsid w:val="007D10F8"/>
    <w:rsid w:val="007D142F"/>
    <w:rsid w:val="007D1678"/>
    <w:rsid w:val="007D17F4"/>
    <w:rsid w:val="007D1D8D"/>
    <w:rsid w:val="007D2364"/>
    <w:rsid w:val="007D2600"/>
    <w:rsid w:val="007D2AEE"/>
    <w:rsid w:val="007D2B29"/>
    <w:rsid w:val="007D2FD2"/>
    <w:rsid w:val="007D3036"/>
    <w:rsid w:val="007D33ED"/>
    <w:rsid w:val="007D3400"/>
    <w:rsid w:val="007D361E"/>
    <w:rsid w:val="007D3653"/>
    <w:rsid w:val="007D3898"/>
    <w:rsid w:val="007D3936"/>
    <w:rsid w:val="007D3E15"/>
    <w:rsid w:val="007D4224"/>
    <w:rsid w:val="007D43F5"/>
    <w:rsid w:val="007D478A"/>
    <w:rsid w:val="007D4937"/>
    <w:rsid w:val="007D4A4D"/>
    <w:rsid w:val="007D4DB9"/>
    <w:rsid w:val="007D4EA4"/>
    <w:rsid w:val="007D4F4F"/>
    <w:rsid w:val="007D4F84"/>
    <w:rsid w:val="007D5CFB"/>
    <w:rsid w:val="007D5E68"/>
    <w:rsid w:val="007D6246"/>
    <w:rsid w:val="007D6433"/>
    <w:rsid w:val="007D652D"/>
    <w:rsid w:val="007D666A"/>
    <w:rsid w:val="007D68F9"/>
    <w:rsid w:val="007D6914"/>
    <w:rsid w:val="007D69AA"/>
    <w:rsid w:val="007D6A22"/>
    <w:rsid w:val="007D6A96"/>
    <w:rsid w:val="007D7054"/>
    <w:rsid w:val="007D7A0D"/>
    <w:rsid w:val="007D7DBA"/>
    <w:rsid w:val="007E036C"/>
    <w:rsid w:val="007E03EB"/>
    <w:rsid w:val="007E044A"/>
    <w:rsid w:val="007E04B2"/>
    <w:rsid w:val="007E0BE0"/>
    <w:rsid w:val="007E1385"/>
    <w:rsid w:val="007E1900"/>
    <w:rsid w:val="007E2325"/>
    <w:rsid w:val="007E24E7"/>
    <w:rsid w:val="007E2F32"/>
    <w:rsid w:val="007E32ED"/>
    <w:rsid w:val="007E3FCC"/>
    <w:rsid w:val="007E411A"/>
    <w:rsid w:val="007E4194"/>
    <w:rsid w:val="007E466D"/>
    <w:rsid w:val="007E5054"/>
    <w:rsid w:val="007E50C7"/>
    <w:rsid w:val="007E5AE6"/>
    <w:rsid w:val="007E5CCC"/>
    <w:rsid w:val="007E5D95"/>
    <w:rsid w:val="007E74B0"/>
    <w:rsid w:val="007E7907"/>
    <w:rsid w:val="007E7B1F"/>
    <w:rsid w:val="007E7E5F"/>
    <w:rsid w:val="007E7FF5"/>
    <w:rsid w:val="007F0696"/>
    <w:rsid w:val="007F0789"/>
    <w:rsid w:val="007F0C79"/>
    <w:rsid w:val="007F0E4A"/>
    <w:rsid w:val="007F17FC"/>
    <w:rsid w:val="007F281F"/>
    <w:rsid w:val="007F2C56"/>
    <w:rsid w:val="007F2CA5"/>
    <w:rsid w:val="007F32DA"/>
    <w:rsid w:val="007F348C"/>
    <w:rsid w:val="007F375F"/>
    <w:rsid w:val="007F3F40"/>
    <w:rsid w:val="007F435E"/>
    <w:rsid w:val="007F45CA"/>
    <w:rsid w:val="007F534C"/>
    <w:rsid w:val="007F54D1"/>
    <w:rsid w:val="007F5559"/>
    <w:rsid w:val="007F58FC"/>
    <w:rsid w:val="007F5DAA"/>
    <w:rsid w:val="007F5DF3"/>
    <w:rsid w:val="007F62A1"/>
    <w:rsid w:val="007F65B3"/>
    <w:rsid w:val="007F6678"/>
    <w:rsid w:val="007F6E32"/>
    <w:rsid w:val="007F701E"/>
    <w:rsid w:val="007F79F9"/>
    <w:rsid w:val="007F7D9D"/>
    <w:rsid w:val="007F7DBE"/>
    <w:rsid w:val="007F7DEF"/>
    <w:rsid w:val="00800660"/>
    <w:rsid w:val="0080066F"/>
    <w:rsid w:val="00800CEA"/>
    <w:rsid w:val="008013D0"/>
    <w:rsid w:val="00801AAD"/>
    <w:rsid w:val="00801BEA"/>
    <w:rsid w:val="00802694"/>
    <w:rsid w:val="00802F15"/>
    <w:rsid w:val="0080325A"/>
    <w:rsid w:val="00803420"/>
    <w:rsid w:val="00803884"/>
    <w:rsid w:val="0080456A"/>
    <w:rsid w:val="00804C26"/>
    <w:rsid w:val="00804F88"/>
    <w:rsid w:val="008050EE"/>
    <w:rsid w:val="00805100"/>
    <w:rsid w:val="00805158"/>
    <w:rsid w:val="0080546C"/>
    <w:rsid w:val="008057BF"/>
    <w:rsid w:val="008058D3"/>
    <w:rsid w:val="00805AF9"/>
    <w:rsid w:val="00805E2E"/>
    <w:rsid w:val="00806AA5"/>
    <w:rsid w:val="00806D23"/>
    <w:rsid w:val="0080703C"/>
    <w:rsid w:val="0080727A"/>
    <w:rsid w:val="00807507"/>
    <w:rsid w:val="0080799A"/>
    <w:rsid w:val="00807EE5"/>
    <w:rsid w:val="008101F1"/>
    <w:rsid w:val="00810423"/>
    <w:rsid w:val="0081098B"/>
    <w:rsid w:val="008109AA"/>
    <w:rsid w:val="00810AEA"/>
    <w:rsid w:val="00810DF6"/>
    <w:rsid w:val="0081145E"/>
    <w:rsid w:val="00811CB1"/>
    <w:rsid w:val="0081229A"/>
    <w:rsid w:val="00812353"/>
    <w:rsid w:val="00812679"/>
    <w:rsid w:val="00812C4B"/>
    <w:rsid w:val="00812E6C"/>
    <w:rsid w:val="00813095"/>
    <w:rsid w:val="00813289"/>
    <w:rsid w:val="00813808"/>
    <w:rsid w:val="00813BA2"/>
    <w:rsid w:val="00814A62"/>
    <w:rsid w:val="00814BF4"/>
    <w:rsid w:val="00814C64"/>
    <w:rsid w:val="00814C72"/>
    <w:rsid w:val="008153E0"/>
    <w:rsid w:val="0081592A"/>
    <w:rsid w:val="0081651F"/>
    <w:rsid w:val="00816DC4"/>
    <w:rsid w:val="00816E9E"/>
    <w:rsid w:val="0081784A"/>
    <w:rsid w:val="00817921"/>
    <w:rsid w:val="00817B75"/>
    <w:rsid w:val="008204E3"/>
    <w:rsid w:val="008204F7"/>
    <w:rsid w:val="00820CEA"/>
    <w:rsid w:val="00820E7D"/>
    <w:rsid w:val="008214C2"/>
    <w:rsid w:val="008220BF"/>
    <w:rsid w:val="008221F0"/>
    <w:rsid w:val="00822F12"/>
    <w:rsid w:val="008230A6"/>
    <w:rsid w:val="00823811"/>
    <w:rsid w:val="0082413D"/>
    <w:rsid w:val="0082433A"/>
    <w:rsid w:val="008245AD"/>
    <w:rsid w:val="00824794"/>
    <w:rsid w:val="0082489D"/>
    <w:rsid w:val="008250DE"/>
    <w:rsid w:val="00825442"/>
    <w:rsid w:val="00825801"/>
    <w:rsid w:val="00825AD2"/>
    <w:rsid w:val="008262A7"/>
    <w:rsid w:val="00826403"/>
    <w:rsid w:val="008265C2"/>
    <w:rsid w:val="00826748"/>
    <w:rsid w:val="00826ADD"/>
    <w:rsid w:val="00827217"/>
    <w:rsid w:val="0082758C"/>
    <w:rsid w:val="00827A3C"/>
    <w:rsid w:val="00827A9C"/>
    <w:rsid w:val="00827CC4"/>
    <w:rsid w:val="00827ECE"/>
    <w:rsid w:val="00830813"/>
    <w:rsid w:val="00831AF5"/>
    <w:rsid w:val="00831DDC"/>
    <w:rsid w:val="00831EA2"/>
    <w:rsid w:val="008321F5"/>
    <w:rsid w:val="00832485"/>
    <w:rsid w:val="00832A7D"/>
    <w:rsid w:val="00832DB4"/>
    <w:rsid w:val="00832E07"/>
    <w:rsid w:val="0083349C"/>
    <w:rsid w:val="008335E1"/>
    <w:rsid w:val="00833717"/>
    <w:rsid w:val="00833750"/>
    <w:rsid w:val="0083379C"/>
    <w:rsid w:val="00833892"/>
    <w:rsid w:val="00833B33"/>
    <w:rsid w:val="008340C1"/>
    <w:rsid w:val="00834942"/>
    <w:rsid w:val="00834DCD"/>
    <w:rsid w:val="00835262"/>
    <w:rsid w:val="008359FC"/>
    <w:rsid w:val="00835A07"/>
    <w:rsid w:val="00835C97"/>
    <w:rsid w:val="00835D51"/>
    <w:rsid w:val="00835DA5"/>
    <w:rsid w:val="00836003"/>
    <w:rsid w:val="0083610B"/>
    <w:rsid w:val="008361B2"/>
    <w:rsid w:val="00836473"/>
    <w:rsid w:val="0083666C"/>
    <w:rsid w:val="00836689"/>
    <w:rsid w:val="0083697C"/>
    <w:rsid w:val="00836B93"/>
    <w:rsid w:val="00837358"/>
    <w:rsid w:val="008377F3"/>
    <w:rsid w:val="0083796C"/>
    <w:rsid w:val="00837B09"/>
    <w:rsid w:val="00837F2A"/>
    <w:rsid w:val="0084034A"/>
    <w:rsid w:val="008405D3"/>
    <w:rsid w:val="0084091D"/>
    <w:rsid w:val="00840C74"/>
    <w:rsid w:val="008410BC"/>
    <w:rsid w:val="008412C5"/>
    <w:rsid w:val="0084192D"/>
    <w:rsid w:val="00841AD4"/>
    <w:rsid w:val="00841E70"/>
    <w:rsid w:val="00842422"/>
    <w:rsid w:val="0084279C"/>
    <w:rsid w:val="00842C3E"/>
    <w:rsid w:val="00842DA5"/>
    <w:rsid w:val="00842E7C"/>
    <w:rsid w:val="008440B5"/>
    <w:rsid w:val="00844158"/>
    <w:rsid w:val="0084419D"/>
    <w:rsid w:val="0084471B"/>
    <w:rsid w:val="0084478E"/>
    <w:rsid w:val="00844F50"/>
    <w:rsid w:val="008451E8"/>
    <w:rsid w:val="008457AA"/>
    <w:rsid w:val="00845A10"/>
    <w:rsid w:val="00846BDF"/>
    <w:rsid w:val="008473E1"/>
    <w:rsid w:val="008477B8"/>
    <w:rsid w:val="00847829"/>
    <w:rsid w:val="00847A9A"/>
    <w:rsid w:val="00847BD7"/>
    <w:rsid w:val="0085082F"/>
    <w:rsid w:val="00850ED2"/>
    <w:rsid w:val="0085116C"/>
    <w:rsid w:val="00851778"/>
    <w:rsid w:val="00851DC0"/>
    <w:rsid w:val="0085220F"/>
    <w:rsid w:val="008524B5"/>
    <w:rsid w:val="008529D7"/>
    <w:rsid w:val="00852D94"/>
    <w:rsid w:val="00852EA0"/>
    <w:rsid w:val="00853203"/>
    <w:rsid w:val="008533D7"/>
    <w:rsid w:val="0085348A"/>
    <w:rsid w:val="00853BC2"/>
    <w:rsid w:val="00853C4B"/>
    <w:rsid w:val="00853E1A"/>
    <w:rsid w:val="00853E1E"/>
    <w:rsid w:val="00853F52"/>
    <w:rsid w:val="0085418B"/>
    <w:rsid w:val="0085419E"/>
    <w:rsid w:val="0085426E"/>
    <w:rsid w:val="0085445C"/>
    <w:rsid w:val="00854474"/>
    <w:rsid w:val="0085454D"/>
    <w:rsid w:val="00854A24"/>
    <w:rsid w:val="00854D60"/>
    <w:rsid w:val="00855C77"/>
    <w:rsid w:val="0085622E"/>
    <w:rsid w:val="0085691B"/>
    <w:rsid w:val="00856EC1"/>
    <w:rsid w:val="008578EA"/>
    <w:rsid w:val="00857981"/>
    <w:rsid w:val="00857BBB"/>
    <w:rsid w:val="00857DD3"/>
    <w:rsid w:val="00857F78"/>
    <w:rsid w:val="00860227"/>
    <w:rsid w:val="008605E0"/>
    <w:rsid w:val="0086078C"/>
    <w:rsid w:val="00860AA5"/>
    <w:rsid w:val="008619E9"/>
    <w:rsid w:val="00861E24"/>
    <w:rsid w:val="00861E7F"/>
    <w:rsid w:val="008621E6"/>
    <w:rsid w:val="00862BB5"/>
    <w:rsid w:val="00863C7B"/>
    <w:rsid w:val="00863CF8"/>
    <w:rsid w:val="00864062"/>
    <w:rsid w:val="008643C1"/>
    <w:rsid w:val="00864474"/>
    <w:rsid w:val="0086472C"/>
    <w:rsid w:val="00864760"/>
    <w:rsid w:val="00864D26"/>
    <w:rsid w:val="00864D2C"/>
    <w:rsid w:val="008650DB"/>
    <w:rsid w:val="0086525E"/>
    <w:rsid w:val="00865838"/>
    <w:rsid w:val="00865840"/>
    <w:rsid w:val="0086587D"/>
    <w:rsid w:val="00865DAA"/>
    <w:rsid w:val="00865E5B"/>
    <w:rsid w:val="00866153"/>
    <w:rsid w:val="00866A3B"/>
    <w:rsid w:val="00867790"/>
    <w:rsid w:val="0086786B"/>
    <w:rsid w:val="0087000E"/>
    <w:rsid w:val="008701AD"/>
    <w:rsid w:val="0087077A"/>
    <w:rsid w:val="00870C2E"/>
    <w:rsid w:val="00870E35"/>
    <w:rsid w:val="008710A8"/>
    <w:rsid w:val="00871261"/>
    <w:rsid w:val="008717CE"/>
    <w:rsid w:val="00871B2E"/>
    <w:rsid w:val="00872072"/>
    <w:rsid w:val="008722F1"/>
    <w:rsid w:val="00872555"/>
    <w:rsid w:val="00872E14"/>
    <w:rsid w:val="008736AA"/>
    <w:rsid w:val="00873DF6"/>
    <w:rsid w:val="008758B1"/>
    <w:rsid w:val="00875944"/>
    <w:rsid w:val="00875FBA"/>
    <w:rsid w:val="008762BC"/>
    <w:rsid w:val="008762BE"/>
    <w:rsid w:val="008764B0"/>
    <w:rsid w:val="00876C4B"/>
    <w:rsid w:val="008770EB"/>
    <w:rsid w:val="008779B8"/>
    <w:rsid w:val="00877CAD"/>
    <w:rsid w:val="00880488"/>
    <w:rsid w:val="00880655"/>
    <w:rsid w:val="008807D8"/>
    <w:rsid w:val="00880AE5"/>
    <w:rsid w:val="00880B43"/>
    <w:rsid w:val="00880CEA"/>
    <w:rsid w:val="00881217"/>
    <w:rsid w:val="0088138C"/>
    <w:rsid w:val="00881640"/>
    <w:rsid w:val="00881756"/>
    <w:rsid w:val="00881758"/>
    <w:rsid w:val="00881B38"/>
    <w:rsid w:val="00881D6D"/>
    <w:rsid w:val="0088231B"/>
    <w:rsid w:val="00882475"/>
    <w:rsid w:val="0088317A"/>
    <w:rsid w:val="008834F1"/>
    <w:rsid w:val="008835C8"/>
    <w:rsid w:val="00883651"/>
    <w:rsid w:val="00883669"/>
    <w:rsid w:val="00883927"/>
    <w:rsid w:val="00884335"/>
    <w:rsid w:val="0088444C"/>
    <w:rsid w:val="00884FD3"/>
    <w:rsid w:val="00885331"/>
    <w:rsid w:val="0088548C"/>
    <w:rsid w:val="00885AF9"/>
    <w:rsid w:val="00885B6E"/>
    <w:rsid w:val="00886278"/>
    <w:rsid w:val="00886811"/>
    <w:rsid w:val="00886842"/>
    <w:rsid w:val="00886DAE"/>
    <w:rsid w:val="0088702C"/>
    <w:rsid w:val="008876CA"/>
    <w:rsid w:val="00887A3D"/>
    <w:rsid w:val="00887A97"/>
    <w:rsid w:val="00887AA8"/>
    <w:rsid w:val="00890914"/>
    <w:rsid w:val="00890BE9"/>
    <w:rsid w:val="00890EC2"/>
    <w:rsid w:val="0089159A"/>
    <w:rsid w:val="0089175B"/>
    <w:rsid w:val="00891D1C"/>
    <w:rsid w:val="00891FB7"/>
    <w:rsid w:val="008924AF"/>
    <w:rsid w:val="00892514"/>
    <w:rsid w:val="00892AE3"/>
    <w:rsid w:val="00892B02"/>
    <w:rsid w:val="00892C65"/>
    <w:rsid w:val="00893073"/>
    <w:rsid w:val="008930D7"/>
    <w:rsid w:val="008931DA"/>
    <w:rsid w:val="00893313"/>
    <w:rsid w:val="00893681"/>
    <w:rsid w:val="0089395E"/>
    <w:rsid w:val="00893E1C"/>
    <w:rsid w:val="008942D1"/>
    <w:rsid w:val="00894555"/>
    <w:rsid w:val="00894A24"/>
    <w:rsid w:val="00894A3E"/>
    <w:rsid w:val="00895194"/>
    <w:rsid w:val="008956B7"/>
    <w:rsid w:val="008958B8"/>
    <w:rsid w:val="00895909"/>
    <w:rsid w:val="00895BB3"/>
    <w:rsid w:val="00895F69"/>
    <w:rsid w:val="00895FEC"/>
    <w:rsid w:val="0089622C"/>
    <w:rsid w:val="0089660D"/>
    <w:rsid w:val="008967D7"/>
    <w:rsid w:val="00896C80"/>
    <w:rsid w:val="00896DB1"/>
    <w:rsid w:val="00897791"/>
    <w:rsid w:val="008A0170"/>
    <w:rsid w:val="008A0563"/>
    <w:rsid w:val="008A07B4"/>
    <w:rsid w:val="008A09C2"/>
    <w:rsid w:val="008A0A57"/>
    <w:rsid w:val="008A0A62"/>
    <w:rsid w:val="008A0EA5"/>
    <w:rsid w:val="008A125F"/>
    <w:rsid w:val="008A12C1"/>
    <w:rsid w:val="008A1DF8"/>
    <w:rsid w:val="008A1EC2"/>
    <w:rsid w:val="008A24EC"/>
    <w:rsid w:val="008A2569"/>
    <w:rsid w:val="008A29FC"/>
    <w:rsid w:val="008A2DA1"/>
    <w:rsid w:val="008A2E0C"/>
    <w:rsid w:val="008A2EC0"/>
    <w:rsid w:val="008A33B5"/>
    <w:rsid w:val="008A3511"/>
    <w:rsid w:val="008A39A2"/>
    <w:rsid w:val="008A3B28"/>
    <w:rsid w:val="008A4160"/>
    <w:rsid w:val="008A4EB2"/>
    <w:rsid w:val="008A54D8"/>
    <w:rsid w:val="008A5B3B"/>
    <w:rsid w:val="008A5B7D"/>
    <w:rsid w:val="008A5B89"/>
    <w:rsid w:val="008A6079"/>
    <w:rsid w:val="008A6122"/>
    <w:rsid w:val="008A633D"/>
    <w:rsid w:val="008A6419"/>
    <w:rsid w:val="008A65D8"/>
    <w:rsid w:val="008A68D0"/>
    <w:rsid w:val="008A77AB"/>
    <w:rsid w:val="008A77D2"/>
    <w:rsid w:val="008A7B4C"/>
    <w:rsid w:val="008B0873"/>
    <w:rsid w:val="008B0E05"/>
    <w:rsid w:val="008B0FAC"/>
    <w:rsid w:val="008B0FAD"/>
    <w:rsid w:val="008B100D"/>
    <w:rsid w:val="008B1120"/>
    <w:rsid w:val="008B115B"/>
    <w:rsid w:val="008B129D"/>
    <w:rsid w:val="008B12C5"/>
    <w:rsid w:val="008B133E"/>
    <w:rsid w:val="008B134C"/>
    <w:rsid w:val="008B1543"/>
    <w:rsid w:val="008B197B"/>
    <w:rsid w:val="008B1CA7"/>
    <w:rsid w:val="008B1D58"/>
    <w:rsid w:val="008B2577"/>
    <w:rsid w:val="008B2ADA"/>
    <w:rsid w:val="008B2CB6"/>
    <w:rsid w:val="008B3375"/>
    <w:rsid w:val="008B35AD"/>
    <w:rsid w:val="008B3BD6"/>
    <w:rsid w:val="008B414D"/>
    <w:rsid w:val="008B4542"/>
    <w:rsid w:val="008B45BA"/>
    <w:rsid w:val="008B4645"/>
    <w:rsid w:val="008B488D"/>
    <w:rsid w:val="008B4E2A"/>
    <w:rsid w:val="008B514D"/>
    <w:rsid w:val="008B5155"/>
    <w:rsid w:val="008B5237"/>
    <w:rsid w:val="008B5A5D"/>
    <w:rsid w:val="008B5F57"/>
    <w:rsid w:val="008B627E"/>
    <w:rsid w:val="008B63E1"/>
    <w:rsid w:val="008B6C97"/>
    <w:rsid w:val="008B714F"/>
    <w:rsid w:val="008C0393"/>
    <w:rsid w:val="008C0DB5"/>
    <w:rsid w:val="008C0F40"/>
    <w:rsid w:val="008C124E"/>
    <w:rsid w:val="008C12C6"/>
    <w:rsid w:val="008C13E3"/>
    <w:rsid w:val="008C25D2"/>
    <w:rsid w:val="008C27F8"/>
    <w:rsid w:val="008C28F6"/>
    <w:rsid w:val="008C2C3F"/>
    <w:rsid w:val="008C2C51"/>
    <w:rsid w:val="008C2C88"/>
    <w:rsid w:val="008C2CD0"/>
    <w:rsid w:val="008C3086"/>
    <w:rsid w:val="008C3240"/>
    <w:rsid w:val="008C341D"/>
    <w:rsid w:val="008C450A"/>
    <w:rsid w:val="008C49D1"/>
    <w:rsid w:val="008C4DC7"/>
    <w:rsid w:val="008C4F20"/>
    <w:rsid w:val="008C6646"/>
    <w:rsid w:val="008C6786"/>
    <w:rsid w:val="008C68B0"/>
    <w:rsid w:val="008C745D"/>
    <w:rsid w:val="008C7488"/>
    <w:rsid w:val="008C7BF5"/>
    <w:rsid w:val="008D01B2"/>
    <w:rsid w:val="008D032C"/>
    <w:rsid w:val="008D088B"/>
    <w:rsid w:val="008D0A47"/>
    <w:rsid w:val="008D1597"/>
    <w:rsid w:val="008D17A6"/>
    <w:rsid w:val="008D1991"/>
    <w:rsid w:val="008D1EC0"/>
    <w:rsid w:val="008D2288"/>
    <w:rsid w:val="008D287C"/>
    <w:rsid w:val="008D351D"/>
    <w:rsid w:val="008D3A13"/>
    <w:rsid w:val="008D3E23"/>
    <w:rsid w:val="008D490B"/>
    <w:rsid w:val="008D4B53"/>
    <w:rsid w:val="008D4DCD"/>
    <w:rsid w:val="008D4E4A"/>
    <w:rsid w:val="008D52DE"/>
    <w:rsid w:val="008D5346"/>
    <w:rsid w:val="008D584F"/>
    <w:rsid w:val="008D6051"/>
    <w:rsid w:val="008D666A"/>
    <w:rsid w:val="008D67D3"/>
    <w:rsid w:val="008D6F82"/>
    <w:rsid w:val="008D7538"/>
    <w:rsid w:val="008D7540"/>
    <w:rsid w:val="008D78CB"/>
    <w:rsid w:val="008E009B"/>
    <w:rsid w:val="008E018B"/>
    <w:rsid w:val="008E078B"/>
    <w:rsid w:val="008E07F0"/>
    <w:rsid w:val="008E1341"/>
    <w:rsid w:val="008E19E3"/>
    <w:rsid w:val="008E1BE9"/>
    <w:rsid w:val="008E20B9"/>
    <w:rsid w:val="008E23DC"/>
    <w:rsid w:val="008E2CAD"/>
    <w:rsid w:val="008E3135"/>
    <w:rsid w:val="008E31E4"/>
    <w:rsid w:val="008E373E"/>
    <w:rsid w:val="008E3DFE"/>
    <w:rsid w:val="008E4B50"/>
    <w:rsid w:val="008E510A"/>
    <w:rsid w:val="008E513A"/>
    <w:rsid w:val="008E5146"/>
    <w:rsid w:val="008E53C8"/>
    <w:rsid w:val="008E54B1"/>
    <w:rsid w:val="008E5577"/>
    <w:rsid w:val="008E58E2"/>
    <w:rsid w:val="008E6163"/>
    <w:rsid w:val="008E6334"/>
    <w:rsid w:val="008E6386"/>
    <w:rsid w:val="008E6466"/>
    <w:rsid w:val="008E69CF"/>
    <w:rsid w:val="008E7689"/>
    <w:rsid w:val="008E7959"/>
    <w:rsid w:val="008F0153"/>
    <w:rsid w:val="008F079A"/>
    <w:rsid w:val="008F0902"/>
    <w:rsid w:val="008F0BAA"/>
    <w:rsid w:val="008F0EAE"/>
    <w:rsid w:val="008F0F5A"/>
    <w:rsid w:val="008F1234"/>
    <w:rsid w:val="008F14E4"/>
    <w:rsid w:val="008F19DB"/>
    <w:rsid w:val="008F1A7F"/>
    <w:rsid w:val="008F1EA3"/>
    <w:rsid w:val="008F22AA"/>
    <w:rsid w:val="008F2718"/>
    <w:rsid w:val="008F27B5"/>
    <w:rsid w:val="008F27F7"/>
    <w:rsid w:val="008F296B"/>
    <w:rsid w:val="008F2DF3"/>
    <w:rsid w:val="008F2EB7"/>
    <w:rsid w:val="008F32AF"/>
    <w:rsid w:val="008F3748"/>
    <w:rsid w:val="008F3848"/>
    <w:rsid w:val="008F3A51"/>
    <w:rsid w:val="008F3AC6"/>
    <w:rsid w:val="008F3DAE"/>
    <w:rsid w:val="008F426E"/>
    <w:rsid w:val="008F49A3"/>
    <w:rsid w:val="008F4DF7"/>
    <w:rsid w:val="008F4F40"/>
    <w:rsid w:val="008F548E"/>
    <w:rsid w:val="008F57AA"/>
    <w:rsid w:val="008F5F29"/>
    <w:rsid w:val="008F5F9A"/>
    <w:rsid w:val="008F5FDB"/>
    <w:rsid w:val="008F6421"/>
    <w:rsid w:val="008F6830"/>
    <w:rsid w:val="008F691F"/>
    <w:rsid w:val="008F6D41"/>
    <w:rsid w:val="008F702D"/>
    <w:rsid w:val="008F7081"/>
    <w:rsid w:val="008F7446"/>
    <w:rsid w:val="008F74A5"/>
    <w:rsid w:val="008F7EB2"/>
    <w:rsid w:val="009000AA"/>
    <w:rsid w:val="00900326"/>
    <w:rsid w:val="00901098"/>
    <w:rsid w:val="00901531"/>
    <w:rsid w:val="0090175F"/>
    <w:rsid w:val="0090188E"/>
    <w:rsid w:val="00902467"/>
    <w:rsid w:val="009028A2"/>
    <w:rsid w:val="009028E5"/>
    <w:rsid w:val="00902A31"/>
    <w:rsid w:val="00902B9F"/>
    <w:rsid w:val="00902D17"/>
    <w:rsid w:val="00902F0B"/>
    <w:rsid w:val="00902FD1"/>
    <w:rsid w:val="0090349C"/>
    <w:rsid w:val="0090353D"/>
    <w:rsid w:val="00903678"/>
    <w:rsid w:val="00903A3D"/>
    <w:rsid w:val="00903FA5"/>
    <w:rsid w:val="00904AB9"/>
    <w:rsid w:val="00904C26"/>
    <w:rsid w:val="009052DC"/>
    <w:rsid w:val="00905987"/>
    <w:rsid w:val="009059A8"/>
    <w:rsid w:val="0090611E"/>
    <w:rsid w:val="009062E0"/>
    <w:rsid w:val="0090632A"/>
    <w:rsid w:val="00906515"/>
    <w:rsid w:val="009068E1"/>
    <w:rsid w:val="00906A40"/>
    <w:rsid w:val="009074FB"/>
    <w:rsid w:val="009079AE"/>
    <w:rsid w:val="00907BFC"/>
    <w:rsid w:val="00907CA1"/>
    <w:rsid w:val="00907E7A"/>
    <w:rsid w:val="00910972"/>
    <w:rsid w:val="00910A64"/>
    <w:rsid w:val="00910BF6"/>
    <w:rsid w:val="009118F0"/>
    <w:rsid w:val="00911BF2"/>
    <w:rsid w:val="00911E6D"/>
    <w:rsid w:val="009126CF"/>
    <w:rsid w:val="00912A28"/>
    <w:rsid w:val="00912E15"/>
    <w:rsid w:val="0091335C"/>
    <w:rsid w:val="00913809"/>
    <w:rsid w:val="00913BC2"/>
    <w:rsid w:val="00913D5F"/>
    <w:rsid w:val="00914660"/>
    <w:rsid w:val="0091475B"/>
    <w:rsid w:val="00914926"/>
    <w:rsid w:val="00914A98"/>
    <w:rsid w:val="00914C2B"/>
    <w:rsid w:val="00914C2E"/>
    <w:rsid w:val="00915708"/>
    <w:rsid w:val="009158DD"/>
    <w:rsid w:val="00915CBD"/>
    <w:rsid w:val="00916094"/>
    <w:rsid w:val="00916326"/>
    <w:rsid w:val="0091633C"/>
    <w:rsid w:val="009163BD"/>
    <w:rsid w:val="00916590"/>
    <w:rsid w:val="00916758"/>
    <w:rsid w:val="00917FAB"/>
    <w:rsid w:val="00920213"/>
    <w:rsid w:val="009209D3"/>
    <w:rsid w:val="00920E30"/>
    <w:rsid w:val="009211EE"/>
    <w:rsid w:val="0092143E"/>
    <w:rsid w:val="009215E9"/>
    <w:rsid w:val="00922163"/>
    <w:rsid w:val="00922465"/>
    <w:rsid w:val="00922C18"/>
    <w:rsid w:val="00922D3D"/>
    <w:rsid w:val="00922F8C"/>
    <w:rsid w:val="00923577"/>
    <w:rsid w:val="00924003"/>
    <w:rsid w:val="00924325"/>
    <w:rsid w:val="00924398"/>
    <w:rsid w:val="009243A5"/>
    <w:rsid w:val="009244D0"/>
    <w:rsid w:val="00924542"/>
    <w:rsid w:val="00924721"/>
    <w:rsid w:val="0092490B"/>
    <w:rsid w:val="00924C99"/>
    <w:rsid w:val="00924D8B"/>
    <w:rsid w:val="009252C7"/>
    <w:rsid w:val="009258EF"/>
    <w:rsid w:val="00925B24"/>
    <w:rsid w:val="00925B4F"/>
    <w:rsid w:val="009264D9"/>
    <w:rsid w:val="00926834"/>
    <w:rsid w:val="00926E4B"/>
    <w:rsid w:val="00927334"/>
    <w:rsid w:val="00927DA2"/>
    <w:rsid w:val="00927F25"/>
    <w:rsid w:val="0093014A"/>
    <w:rsid w:val="00930328"/>
    <w:rsid w:val="0093035F"/>
    <w:rsid w:val="00930536"/>
    <w:rsid w:val="0093089B"/>
    <w:rsid w:val="00930D57"/>
    <w:rsid w:val="0093114A"/>
    <w:rsid w:val="00931808"/>
    <w:rsid w:val="00931A77"/>
    <w:rsid w:val="00932817"/>
    <w:rsid w:val="00932BF3"/>
    <w:rsid w:val="00933666"/>
    <w:rsid w:val="00933745"/>
    <w:rsid w:val="00933E34"/>
    <w:rsid w:val="00933E51"/>
    <w:rsid w:val="00934081"/>
    <w:rsid w:val="00934A28"/>
    <w:rsid w:val="009355FC"/>
    <w:rsid w:val="009356EE"/>
    <w:rsid w:val="00935773"/>
    <w:rsid w:val="00935A4E"/>
    <w:rsid w:val="00935A6E"/>
    <w:rsid w:val="00935B03"/>
    <w:rsid w:val="00936717"/>
    <w:rsid w:val="009368A7"/>
    <w:rsid w:val="0093695C"/>
    <w:rsid w:val="00936CE1"/>
    <w:rsid w:val="00937754"/>
    <w:rsid w:val="00937765"/>
    <w:rsid w:val="009379CC"/>
    <w:rsid w:val="00937DE7"/>
    <w:rsid w:val="00937DEB"/>
    <w:rsid w:val="00940526"/>
    <w:rsid w:val="00940B9A"/>
    <w:rsid w:val="00940FDE"/>
    <w:rsid w:val="009416F8"/>
    <w:rsid w:val="00941925"/>
    <w:rsid w:val="00941CC9"/>
    <w:rsid w:val="00941DA4"/>
    <w:rsid w:val="00942609"/>
    <w:rsid w:val="009429F6"/>
    <w:rsid w:val="00942F0D"/>
    <w:rsid w:val="00943047"/>
    <w:rsid w:val="009434C5"/>
    <w:rsid w:val="00943727"/>
    <w:rsid w:val="00943785"/>
    <w:rsid w:val="00943BBB"/>
    <w:rsid w:val="00943C17"/>
    <w:rsid w:val="009442AE"/>
    <w:rsid w:val="00944980"/>
    <w:rsid w:val="00944B5C"/>
    <w:rsid w:val="00944C75"/>
    <w:rsid w:val="00944E1C"/>
    <w:rsid w:val="009457BD"/>
    <w:rsid w:val="00945CDB"/>
    <w:rsid w:val="00945EC2"/>
    <w:rsid w:val="00945F17"/>
    <w:rsid w:val="0094603A"/>
    <w:rsid w:val="00946133"/>
    <w:rsid w:val="009462A4"/>
    <w:rsid w:val="00946DF9"/>
    <w:rsid w:val="00946E97"/>
    <w:rsid w:val="00946F33"/>
    <w:rsid w:val="00947A30"/>
    <w:rsid w:val="009505AB"/>
    <w:rsid w:val="00950885"/>
    <w:rsid w:val="00950ADB"/>
    <w:rsid w:val="00950BC4"/>
    <w:rsid w:val="00950CFB"/>
    <w:rsid w:val="00950F98"/>
    <w:rsid w:val="00951D5C"/>
    <w:rsid w:val="00952E61"/>
    <w:rsid w:val="00953C48"/>
    <w:rsid w:val="0095427E"/>
    <w:rsid w:val="0095455C"/>
    <w:rsid w:val="009546FF"/>
    <w:rsid w:val="00954A0B"/>
    <w:rsid w:val="009552F3"/>
    <w:rsid w:val="0095556A"/>
    <w:rsid w:val="009555FD"/>
    <w:rsid w:val="00955C17"/>
    <w:rsid w:val="00955EAE"/>
    <w:rsid w:val="00956239"/>
    <w:rsid w:val="00956CC5"/>
    <w:rsid w:val="00957B04"/>
    <w:rsid w:val="00957DA1"/>
    <w:rsid w:val="00960089"/>
    <w:rsid w:val="0096081C"/>
    <w:rsid w:val="00960AE0"/>
    <w:rsid w:val="0096111F"/>
    <w:rsid w:val="00961292"/>
    <w:rsid w:val="00961322"/>
    <w:rsid w:val="009614A5"/>
    <w:rsid w:val="0096157B"/>
    <w:rsid w:val="00961956"/>
    <w:rsid w:val="009620A5"/>
    <w:rsid w:val="00962936"/>
    <w:rsid w:val="00962C39"/>
    <w:rsid w:val="00963A0F"/>
    <w:rsid w:val="00963B4D"/>
    <w:rsid w:val="0096414F"/>
    <w:rsid w:val="0096415D"/>
    <w:rsid w:val="00964862"/>
    <w:rsid w:val="0096508C"/>
    <w:rsid w:val="00965750"/>
    <w:rsid w:val="00965777"/>
    <w:rsid w:val="00965962"/>
    <w:rsid w:val="00965963"/>
    <w:rsid w:val="00965A09"/>
    <w:rsid w:val="0096626B"/>
    <w:rsid w:val="00966330"/>
    <w:rsid w:val="00966381"/>
    <w:rsid w:val="009663EB"/>
    <w:rsid w:val="009665ED"/>
    <w:rsid w:val="009666C3"/>
    <w:rsid w:val="00966A34"/>
    <w:rsid w:val="00966C2C"/>
    <w:rsid w:val="00966D0D"/>
    <w:rsid w:val="00966DC9"/>
    <w:rsid w:val="00966F20"/>
    <w:rsid w:val="00967306"/>
    <w:rsid w:val="009673CF"/>
    <w:rsid w:val="00967922"/>
    <w:rsid w:val="00967B04"/>
    <w:rsid w:val="0097004F"/>
    <w:rsid w:val="00970269"/>
    <w:rsid w:val="0097062A"/>
    <w:rsid w:val="00970BA3"/>
    <w:rsid w:val="00970F90"/>
    <w:rsid w:val="0097148A"/>
    <w:rsid w:val="00971DD4"/>
    <w:rsid w:val="00972118"/>
    <w:rsid w:val="00972239"/>
    <w:rsid w:val="00972388"/>
    <w:rsid w:val="00972637"/>
    <w:rsid w:val="00972B88"/>
    <w:rsid w:val="00972BAE"/>
    <w:rsid w:val="00973209"/>
    <w:rsid w:val="00973D97"/>
    <w:rsid w:val="00974D3F"/>
    <w:rsid w:val="00974FE1"/>
    <w:rsid w:val="00975115"/>
    <w:rsid w:val="009751D7"/>
    <w:rsid w:val="00975784"/>
    <w:rsid w:val="009759A3"/>
    <w:rsid w:val="00975A60"/>
    <w:rsid w:val="00976094"/>
    <w:rsid w:val="0097609B"/>
    <w:rsid w:val="00976165"/>
    <w:rsid w:val="009766CD"/>
    <w:rsid w:val="00977244"/>
    <w:rsid w:val="0097749E"/>
    <w:rsid w:val="00977641"/>
    <w:rsid w:val="009776CD"/>
    <w:rsid w:val="00977825"/>
    <w:rsid w:val="0097797C"/>
    <w:rsid w:val="00977C5F"/>
    <w:rsid w:val="00977F23"/>
    <w:rsid w:val="009806F2"/>
    <w:rsid w:val="00980F1E"/>
    <w:rsid w:val="00981332"/>
    <w:rsid w:val="00981574"/>
    <w:rsid w:val="0098177B"/>
    <w:rsid w:val="009819D9"/>
    <w:rsid w:val="00981A82"/>
    <w:rsid w:val="00981C91"/>
    <w:rsid w:val="00981CBD"/>
    <w:rsid w:val="00981FCC"/>
    <w:rsid w:val="00982BEA"/>
    <w:rsid w:val="00983467"/>
    <w:rsid w:val="0098436C"/>
    <w:rsid w:val="0098484C"/>
    <w:rsid w:val="00984DE4"/>
    <w:rsid w:val="00985254"/>
    <w:rsid w:val="00985291"/>
    <w:rsid w:val="00985C56"/>
    <w:rsid w:val="00986130"/>
    <w:rsid w:val="009865FA"/>
    <w:rsid w:val="00986918"/>
    <w:rsid w:val="00986CC2"/>
    <w:rsid w:val="00986E0C"/>
    <w:rsid w:val="00986F3B"/>
    <w:rsid w:val="0098726D"/>
    <w:rsid w:val="00987416"/>
    <w:rsid w:val="00987618"/>
    <w:rsid w:val="00987697"/>
    <w:rsid w:val="00987BC6"/>
    <w:rsid w:val="00987CC2"/>
    <w:rsid w:val="00987EBD"/>
    <w:rsid w:val="0099074B"/>
    <w:rsid w:val="00990F12"/>
    <w:rsid w:val="00991176"/>
    <w:rsid w:val="0099126F"/>
    <w:rsid w:val="009913AB"/>
    <w:rsid w:val="0099145A"/>
    <w:rsid w:val="00991629"/>
    <w:rsid w:val="0099167A"/>
    <w:rsid w:val="009916BF"/>
    <w:rsid w:val="0099194D"/>
    <w:rsid w:val="009922A5"/>
    <w:rsid w:val="00992343"/>
    <w:rsid w:val="009926E0"/>
    <w:rsid w:val="0099274B"/>
    <w:rsid w:val="00992827"/>
    <w:rsid w:val="00992D26"/>
    <w:rsid w:val="009934A5"/>
    <w:rsid w:val="009934ED"/>
    <w:rsid w:val="009939E7"/>
    <w:rsid w:val="00993C28"/>
    <w:rsid w:val="00993F4A"/>
    <w:rsid w:val="0099435D"/>
    <w:rsid w:val="00994909"/>
    <w:rsid w:val="00994A0E"/>
    <w:rsid w:val="00995687"/>
    <w:rsid w:val="00995BF4"/>
    <w:rsid w:val="00995D3E"/>
    <w:rsid w:val="00996888"/>
    <w:rsid w:val="009972F7"/>
    <w:rsid w:val="00997391"/>
    <w:rsid w:val="00997492"/>
    <w:rsid w:val="0099780D"/>
    <w:rsid w:val="00997AC7"/>
    <w:rsid w:val="00997F12"/>
    <w:rsid w:val="009A0257"/>
    <w:rsid w:val="009A088C"/>
    <w:rsid w:val="009A09C8"/>
    <w:rsid w:val="009A0F92"/>
    <w:rsid w:val="009A1109"/>
    <w:rsid w:val="009A11E8"/>
    <w:rsid w:val="009A16F2"/>
    <w:rsid w:val="009A1DC9"/>
    <w:rsid w:val="009A1E7F"/>
    <w:rsid w:val="009A1E9A"/>
    <w:rsid w:val="009A20DE"/>
    <w:rsid w:val="009A2292"/>
    <w:rsid w:val="009A23A3"/>
    <w:rsid w:val="009A242B"/>
    <w:rsid w:val="009A248D"/>
    <w:rsid w:val="009A2499"/>
    <w:rsid w:val="009A2D05"/>
    <w:rsid w:val="009A3174"/>
    <w:rsid w:val="009A3421"/>
    <w:rsid w:val="009A37EF"/>
    <w:rsid w:val="009A3CA3"/>
    <w:rsid w:val="009A4019"/>
    <w:rsid w:val="009A43DA"/>
    <w:rsid w:val="009A4438"/>
    <w:rsid w:val="009A4543"/>
    <w:rsid w:val="009A4546"/>
    <w:rsid w:val="009A5154"/>
    <w:rsid w:val="009A5269"/>
    <w:rsid w:val="009A53E1"/>
    <w:rsid w:val="009A5693"/>
    <w:rsid w:val="009A5D8A"/>
    <w:rsid w:val="009A5DAC"/>
    <w:rsid w:val="009A5DFF"/>
    <w:rsid w:val="009A5E6E"/>
    <w:rsid w:val="009A6FE5"/>
    <w:rsid w:val="009A786D"/>
    <w:rsid w:val="009A7BEB"/>
    <w:rsid w:val="009B096D"/>
    <w:rsid w:val="009B0A4A"/>
    <w:rsid w:val="009B0CB2"/>
    <w:rsid w:val="009B0DD6"/>
    <w:rsid w:val="009B0F6A"/>
    <w:rsid w:val="009B11EA"/>
    <w:rsid w:val="009B12D2"/>
    <w:rsid w:val="009B1569"/>
    <w:rsid w:val="009B2112"/>
    <w:rsid w:val="009B27A0"/>
    <w:rsid w:val="009B2C7D"/>
    <w:rsid w:val="009B3299"/>
    <w:rsid w:val="009B33CF"/>
    <w:rsid w:val="009B39A3"/>
    <w:rsid w:val="009B3B87"/>
    <w:rsid w:val="009B3C56"/>
    <w:rsid w:val="009B3D6A"/>
    <w:rsid w:val="009B4219"/>
    <w:rsid w:val="009B44C2"/>
    <w:rsid w:val="009B45F4"/>
    <w:rsid w:val="009B48CA"/>
    <w:rsid w:val="009B4ED0"/>
    <w:rsid w:val="009B4FE6"/>
    <w:rsid w:val="009B57A5"/>
    <w:rsid w:val="009B650B"/>
    <w:rsid w:val="009B6582"/>
    <w:rsid w:val="009B6715"/>
    <w:rsid w:val="009B6A85"/>
    <w:rsid w:val="009B778A"/>
    <w:rsid w:val="009B7CFE"/>
    <w:rsid w:val="009B7E14"/>
    <w:rsid w:val="009B7FA6"/>
    <w:rsid w:val="009C0191"/>
    <w:rsid w:val="009C047E"/>
    <w:rsid w:val="009C0659"/>
    <w:rsid w:val="009C07AF"/>
    <w:rsid w:val="009C0BA9"/>
    <w:rsid w:val="009C0D59"/>
    <w:rsid w:val="009C0FD1"/>
    <w:rsid w:val="009C10AE"/>
    <w:rsid w:val="009C172A"/>
    <w:rsid w:val="009C1C28"/>
    <w:rsid w:val="009C23AA"/>
    <w:rsid w:val="009C25E6"/>
    <w:rsid w:val="009C27BC"/>
    <w:rsid w:val="009C281A"/>
    <w:rsid w:val="009C2BD7"/>
    <w:rsid w:val="009C331C"/>
    <w:rsid w:val="009C3A60"/>
    <w:rsid w:val="009C3C07"/>
    <w:rsid w:val="009C3FB8"/>
    <w:rsid w:val="009C5205"/>
    <w:rsid w:val="009C54BC"/>
    <w:rsid w:val="009C5599"/>
    <w:rsid w:val="009C5F05"/>
    <w:rsid w:val="009C64A8"/>
    <w:rsid w:val="009C6B63"/>
    <w:rsid w:val="009C6C20"/>
    <w:rsid w:val="009C7500"/>
    <w:rsid w:val="009C76DF"/>
    <w:rsid w:val="009C7BED"/>
    <w:rsid w:val="009C7C53"/>
    <w:rsid w:val="009C7C5A"/>
    <w:rsid w:val="009C7CA2"/>
    <w:rsid w:val="009C7D13"/>
    <w:rsid w:val="009C7D2E"/>
    <w:rsid w:val="009D002A"/>
    <w:rsid w:val="009D01F1"/>
    <w:rsid w:val="009D0607"/>
    <w:rsid w:val="009D0750"/>
    <w:rsid w:val="009D08E7"/>
    <w:rsid w:val="009D097D"/>
    <w:rsid w:val="009D099B"/>
    <w:rsid w:val="009D0A34"/>
    <w:rsid w:val="009D0AD3"/>
    <w:rsid w:val="009D0BB8"/>
    <w:rsid w:val="009D13E9"/>
    <w:rsid w:val="009D18F2"/>
    <w:rsid w:val="009D20EA"/>
    <w:rsid w:val="009D3913"/>
    <w:rsid w:val="009D4680"/>
    <w:rsid w:val="009D4831"/>
    <w:rsid w:val="009D508E"/>
    <w:rsid w:val="009D540E"/>
    <w:rsid w:val="009D55C6"/>
    <w:rsid w:val="009D58B4"/>
    <w:rsid w:val="009D5C3C"/>
    <w:rsid w:val="009D5D95"/>
    <w:rsid w:val="009D5EE3"/>
    <w:rsid w:val="009D630F"/>
    <w:rsid w:val="009D6A1C"/>
    <w:rsid w:val="009D6DFC"/>
    <w:rsid w:val="009D6E2C"/>
    <w:rsid w:val="009D7716"/>
    <w:rsid w:val="009D79D6"/>
    <w:rsid w:val="009D7B24"/>
    <w:rsid w:val="009D7BAB"/>
    <w:rsid w:val="009D7D91"/>
    <w:rsid w:val="009E15D6"/>
    <w:rsid w:val="009E1A64"/>
    <w:rsid w:val="009E1ACD"/>
    <w:rsid w:val="009E1C75"/>
    <w:rsid w:val="009E1F7C"/>
    <w:rsid w:val="009E2006"/>
    <w:rsid w:val="009E231C"/>
    <w:rsid w:val="009E28B2"/>
    <w:rsid w:val="009E2A1E"/>
    <w:rsid w:val="009E2D7C"/>
    <w:rsid w:val="009E2F9B"/>
    <w:rsid w:val="009E320E"/>
    <w:rsid w:val="009E3516"/>
    <w:rsid w:val="009E3794"/>
    <w:rsid w:val="009E4212"/>
    <w:rsid w:val="009E4324"/>
    <w:rsid w:val="009E48A5"/>
    <w:rsid w:val="009E523C"/>
    <w:rsid w:val="009E5586"/>
    <w:rsid w:val="009E57E0"/>
    <w:rsid w:val="009E6525"/>
    <w:rsid w:val="009E6652"/>
    <w:rsid w:val="009E69DA"/>
    <w:rsid w:val="009E7BAF"/>
    <w:rsid w:val="009E7D95"/>
    <w:rsid w:val="009F051F"/>
    <w:rsid w:val="009F06A1"/>
    <w:rsid w:val="009F0A7D"/>
    <w:rsid w:val="009F13AB"/>
    <w:rsid w:val="009F1838"/>
    <w:rsid w:val="009F1976"/>
    <w:rsid w:val="009F1BAF"/>
    <w:rsid w:val="009F1DBC"/>
    <w:rsid w:val="009F227E"/>
    <w:rsid w:val="009F2360"/>
    <w:rsid w:val="009F28B3"/>
    <w:rsid w:val="009F2C55"/>
    <w:rsid w:val="009F2CFB"/>
    <w:rsid w:val="009F2EB7"/>
    <w:rsid w:val="009F3BD6"/>
    <w:rsid w:val="009F41C4"/>
    <w:rsid w:val="009F4810"/>
    <w:rsid w:val="009F4C39"/>
    <w:rsid w:val="009F54D5"/>
    <w:rsid w:val="009F60E0"/>
    <w:rsid w:val="009F641B"/>
    <w:rsid w:val="009F6527"/>
    <w:rsid w:val="009F681F"/>
    <w:rsid w:val="009F6956"/>
    <w:rsid w:val="009F6C5E"/>
    <w:rsid w:val="009F70F7"/>
    <w:rsid w:val="009F76A1"/>
    <w:rsid w:val="009F7BAE"/>
    <w:rsid w:val="00A007F1"/>
    <w:rsid w:val="00A00AD4"/>
    <w:rsid w:val="00A00C97"/>
    <w:rsid w:val="00A017FD"/>
    <w:rsid w:val="00A0189F"/>
    <w:rsid w:val="00A01A14"/>
    <w:rsid w:val="00A01BCA"/>
    <w:rsid w:val="00A01C4C"/>
    <w:rsid w:val="00A01F8E"/>
    <w:rsid w:val="00A02095"/>
    <w:rsid w:val="00A021E9"/>
    <w:rsid w:val="00A02C62"/>
    <w:rsid w:val="00A02E32"/>
    <w:rsid w:val="00A03125"/>
    <w:rsid w:val="00A03A07"/>
    <w:rsid w:val="00A03AF9"/>
    <w:rsid w:val="00A03D24"/>
    <w:rsid w:val="00A03D38"/>
    <w:rsid w:val="00A03DBA"/>
    <w:rsid w:val="00A04213"/>
    <w:rsid w:val="00A04554"/>
    <w:rsid w:val="00A04C77"/>
    <w:rsid w:val="00A0570E"/>
    <w:rsid w:val="00A05852"/>
    <w:rsid w:val="00A05C85"/>
    <w:rsid w:val="00A05CA6"/>
    <w:rsid w:val="00A062F0"/>
    <w:rsid w:val="00A06385"/>
    <w:rsid w:val="00A063D5"/>
    <w:rsid w:val="00A065B2"/>
    <w:rsid w:val="00A073FB"/>
    <w:rsid w:val="00A07537"/>
    <w:rsid w:val="00A07559"/>
    <w:rsid w:val="00A077C9"/>
    <w:rsid w:val="00A07DCA"/>
    <w:rsid w:val="00A102B5"/>
    <w:rsid w:val="00A109D7"/>
    <w:rsid w:val="00A10C8A"/>
    <w:rsid w:val="00A10CC9"/>
    <w:rsid w:val="00A10DA3"/>
    <w:rsid w:val="00A10E2C"/>
    <w:rsid w:val="00A10E6C"/>
    <w:rsid w:val="00A1128A"/>
    <w:rsid w:val="00A1174B"/>
    <w:rsid w:val="00A119DC"/>
    <w:rsid w:val="00A11B47"/>
    <w:rsid w:val="00A11D77"/>
    <w:rsid w:val="00A12400"/>
    <w:rsid w:val="00A124AA"/>
    <w:rsid w:val="00A13458"/>
    <w:rsid w:val="00A13BEF"/>
    <w:rsid w:val="00A14074"/>
    <w:rsid w:val="00A141CA"/>
    <w:rsid w:val="00A144DF"/>
    <w:rsid w:val="00A14570"/>
    <w:rsid w:val="00A14612"/>
    <w:rsid w:val="00A14630"/>
    <w:rsid w:val="00A148F2"/>
    <w:rsid w:val="00A14E79"/>
    <w:rsid w:val="00A1509E"/>
    <w:rsid w:val="00A1519A"/>
    <w:rsid w:val="00A1541C"/>
    <w:rsid w:val="00A15C0E"/>
    <w:rsid w:val="00A15D50"/>
    <w:rsid w:val="00A15DA0"/>
    <w:rsid w:val="00A17FDF"/>
    <w:rsid w:val="00A20292"/>
    <w:rsid w:val="00A20372"/>
    <w:rsid w:val="00A20D33"/>
    <w:rsid w:val="00A21011"/>
    <w:rsid w:val="00A219CB"/>
    <w:rsid w:val="00A232C5"/>
    <w:rsid w:val="00A23500"/>
    <w:rsid w:val="00A23A94"/>
    <w:rsid w:val="00A23AF5"/>
    <w:rsid w:val="00A24329"/>
    <w:rsid w:val="00A25652"/>
    <w:rsid w:val="00A25764"/>
    <w:rsid w:val="00A2600A"/>
    <w:rsid w:val="00A2616F"/>
    <w:rsid w:val="00A2636B"/>
    <w:rsid w:val="00A2654B"/>
    <w:rsid w:val="00A26632"/>
    <w:rsid w:val="00A26988"/>
    <w:rsid w:val="00A276B8"/>
    <w:rsid w:val="00A27F06"/>
    <w:rsid w:val="00A30065"/>
    <w:rsid w:val="00A3009D"/>
    <w:rsid w:val="00A3019C"/>
    <w:rsid w:val="00A30202"/>
    <w:rsid w:val="00A30309"/>
    <w:rsid w:val="00A3066E"/>
    <w:rsid w:val="00A30E70"/>
    <w:rsid w:val="00A315E3"/>
    <w:rsid w:val="00A316FD"/>
    <w:rsid w:val="00A31823"/>
    <w:rsid w:val="00A31D30"/>
    <w:rsid w:val="00A31F39"/>
    <w:rsid w:val="00A32431"/>
    <w:rsid w:val="00A324C4"/>
    <w:rsid w:val="00A327AC"/>
    <w:rsid w:val="00A327BC"/>
    <w:rsid w:val="00A33060"/>
    <w:rsid w:val="00A33150"/>
    <w:rsid w:val="00A331F6"/>
    <w:rsid w:val="00A33303"/>
    <w:rsid w:val="00A33448"/>
    <w:rsid w:val="00A33F8E"/>
    <w:rsid w:val="00A343A6"/>
    <w:rsid w:val="00A346DC"/>
    <w:rsid w:val="00A3485B"/>
    <w:rsid w:val="00A34982"/>
    <w:rsid w:val="00A3550C"/>
    <w:rsid w:val="00A3550F"/>
    <w:rsid w:val="00A3567B"/>
    <w:rsid w:val="00A35BE0"/>
    <w:rsid w:val="00A35DDA"/>
    <w:rsid w:val="00A35EE2"/>
    <w:rsid w:val="00A36321"/>
    <w:rsid w:val="00A364D8"/>
    <w:rsid w:val="00A3662F"/>
    <w:rsid w:val="00A366D5"/>
    <w:rsid w:val="00A36E55"/>
    <w:rsid w:val="00A36F19"/>
    <w:rsid w:val="00A3700F"/>
    <w:rsid w:val="00A370EB"/>
    <w:rsid w:val="00A3783E"/>
    <w:rsid w:val="00A378A4"/>
    <w:rsid w:val="00A37CB2"/>
    <w:rsid w:val="00A37EF9"/>
    <w:rsid w:val="00A4021A"/>
    <w:rsid w:val="00A4024C"/>
    <w:rsid w:val="00A4055F"/>
    <w:rsid w:val="00A407A1"/>
    <w:rsid w:val="00A40BAE"/>
    <w:rsid w:val="00A41532"/>
    <w:rsid w:val="00A417C5"/>
    <w:rsid w:val="00A41B8A"/>
    <w:rsid w:val="00A41E25"/>
    <w:rsid w:val="00A41FD1"/>
    <w:rsid w:val="00A42091"/>
    <w:rsid w:val="00A42BB9"/>
    <w:rsid w:val="00A434BD"/>
    <w:rsid w:val="00A436AD"/>
    <w:rsid w:val="00A4389F"/>
    <w:rsid w:val="00A43909"/>
    <w:rsid w:val="00A43A7B"/>
    <w:rsid w:val="00A43EA8"/>
    <w:rsid w:val="00A44A2C"/>
    <w:rsid w:val="00A45719"/>
    <w:rsid w:val="00A45F0F"/>
    <w:rsid w:val="00A465F1"/>
    <w:rsid w:val="00A46952"/>
    <w:rsid w:val="00A46F8B"/>
    <w:rsid w:val="00A47091"/>
    <w:rsid w:val="00A4717D"/>
    <w:rsid w:val="00A47DB5"/>
    <w:rsid w:val="00A509C0"/>
    <w:rsid w:val="00A51060"/>
    <w:rsid w:val="00A5123A"/>
    <w:rsid w:val="00A51714"/>
    <w:rsid w:val="00A5250A"/>
    <w:rsid w:val="00A52632"/>
    <w:rsid w:val="00A526F3"/>
    <w:rsid w:val="00A5281C"/>
    <w:rsid w:val="00A52820"/>
    <w:rsid w:val="00A528E7"/>
    <w:rsid w:val="00A52A4A"/>
    <w:rsid w:val="00A52D8F"/>
    <w:rsid w:val="00A52EAB"/>
    <w:rsid w:val="00A533DF"/>
    <w:rsid w:val="00A534C9"/>
    <w:rsid w:val="00A53693"/>
    <w:rsid w:val="00A538C6"/>
    <w:rsid w:val="00A5412F"/>
    <w:rsid w:val="00A54299"/>
    <w:rsid w:val="00A5463C"/>
    <w:rsid w:val="00A547E1"/>
    <w:rsid w:val="00A54807"/>
    <w:rsid w:val="00A54814"/>
    <w:rsid w:val="00A54882"/>
    <w:rsid w:val="00A5493F"/>
    <w:rsid w:val="00A55241"/>
    <w:rsid w:val="00A55A22"/>
    <w:rsid w:val="00A55C95"/>
    <w:rsid w:val="00A55FCC"/>
    <w:rsid w:val="00A562BC"/>
    <w:rsid w:val="00A563C0"/>
    <w:rsid w:val="00A56622"/>
    <w:rsid w:val="00A56625"/>
    <w:rsid w:val="00A56A27"/>
    <w:rsid w:val="00A57340"/>
    <w:rsid w:val="00A573B8"/>
    <w:rsid w:val="00A57A89"/>
    <w:rsid w:val="00A57B4E"/>
    <w:rsid w:val="00A57C3D"/>
    <w:rsid w:val="00A60500"/>
    <w:rsid w:val="00A60751"/>
    <w:rsid w:val="00A60DB3"/>
    <w:rsid w:val="00A60EAE"/>
    <w:rsid w:val="00A614F1"/>
    <w:rsid w:val="00A6176C"/>
    <w:rsid w:val="00A61B60"/>
    <w:rsid w:val="00A61C5C"/>
    <w:rsid w:val="00A61DA6"/>
    <w:rsid w:val="00A620BA"/>
    <w:rsid w:val="00A629F7"/>
    <w:rsid w:val="00A62A85"/>
    <w:rsid w:val="00A62CBF"/>
    <w:rsid w:val="00A63B01"/>
    <w:rsid w:val="00A63BFF"/>
    <w:rsid w:val="00A63D19"/>
    <w:rsid w:val="00A64732"/>
    <w:rsid w:val="00A6475C"/>
    <w:rsid w:val="00A64CAA"/>
    <w:rsid w:val="00A64CC7"/>
    <w:rsid w:val="00A6535A"/>
    <w:rsid w:val="00A65973"/>
    <w:rsid w:val="00A65D7C"/>
    <w:rsid w:val="00A65ECD"/>
    <w:rsid w:val="00A66235"/>
    <w:rsid w:val="00A662CE"/>
    <w:rsid w:val="00A663DA"/>
    <w:rsid w:val="00A664F1"/>
    <w:rsid w:val="00A666BC"/>
    <w:rsid w:val="00A67428"/>
    <w:rsid w:val="00A67B1A"/>
    <w:rsid w:val="00A67CE1"/>
    <w:rsid w:val="00A67EA7"/>
    <w:rsid w:val="00A70810"/>
    <w:rsid w:val="00A70B4C"/>
    <w:rsid w:val="00A70E13"/>
    <w:rsid w:val="00A70EDD"/>
    <w:rsid w:val="00A71CE5"/>
    <w:rsid w:val="00A71EA8"/>
    <w:rsid w:val="00A71F73"/>
    <w:rsid w:val="00A72174"/>
    <w:rsid w:val="00A72327"/>
    <w:rsid w:val="00A727B1"/>
    <w:rsid w:val="00A7323E"/>
    <w:rsid w:val="00A73288"/>
    <w:rsid w:val="00A73340"/>
    <w:rsid w:val="00A73393"/>
    <w:rsid w:val="00A734E4"/>
    <w:rsid w:val="00A734FE"/>
    <w:rsid w:val="00A735D0"/>
    <w:rsid w:val="00A736CD"/>
    <w:rsid w:val="00A74983"/>
    <w:rsid w:val="00A74D1A"/>
    <w:rsid w:val="00A758F0"/>
    <w:rsid w:val="00A75B20"/>
    <w:rsid w:val="00A75E58"/>
    <w:rsid w:val="00A7622D"/>
    <w:rsid w:val="00A764CF"/>
    <w:rsid w:val="00A767E6"/>
    <w:rsid w:val="00A769DA"/>
    <w:rsid w:val="00A76B2D"/>
    <w:rsid w:val="00A76BAA"/>
    <w:rsid w:val="00A76D26"/>
    <w:rsid w:val="00A774B4"/>
    <w:rsid w:val="00A775ED"/>
    <w:rsid w:val="00A776F5"/>
    <w:rsid w:val="00A77724"/>
    <w:rsid w:val="00A777C7"/>
    <w:rsid w:val="00A77B2B"/>
    <w:rsid w:val="00A77F42"/>
    <w:rsid w:val="00A806CB"/>
    <w:rsid w:val="00A80BB3"/>
    <w:rsid w:val="00A80D73"/>
    <w:rsid w:val="00A80F79"/>
    <w:rsid w:val="00A8109B"/>
    <w:rsid w:val="00A8111D"/>
    <w:rsid w:val="00A8163A"/>
    <w:rsid w:val="00A81761"/>
    <w:rsid w:val="00A8191B"/>
    <w:rsid w:val="00A81CAD"/>
    <w:rsid w:val="00A828BA"/>
    <w:rsid w:val="00A82EDE"/>
    <w:rsid w:val="00A830F4"/>
    <w:rsid w:val="00A83820"/>
    <w:rsid w:val="00A83E18"/>
    <w:rsid w:val="00A84050"/>
    <w:rsid w:val="00A840FF"/>
    <w:rsid w:val="00A843C3"/>
    <w:rsid w:val="00A84B77"/>
    <w:rsid w:val="00A84D40"/>
    <w:rsid w:val="00A84D5C"/>
    <w:rsid w:val="00A8534E"/>
    <w:rsid w:val="00A858FB"/>
    <w:rsid w:val="00A85D3D"/>
    <w:rsid w:val="00A8602B"/>
    <w:rsid w:val="00A87156"/>
    <w:rsid w:val="00A87454"/>
    <w:rsid w:val="00A87876"/>
    <w:rsid w:val="00A87E6F"/>
    <w:rsid w:val="00A90032"/>
    <w:rsid w:val="00A90333"/>
    <w:rsid w:val="00A9059C"/>
    <w:rsid w:val="00A90B25"/>
    <w:rsid w:val="00A913FF"/>
    <w:rsid w:val="00A918D4"/>
    <w:rsid w:val="00A91954"/>
    <w:rsid w:val="00A91988"/>
    <w:rsid w:val="00A91B8C"/>
    <w:rsid w:val="00A921A4"/>
    <w:rsid w:val="00A9253A"/>
    <w:rsid w:val="00A92C98"/>
    <w:rsid w:val="00A92D34"/>
    <w:rsid w:val="00A92E33"/>
    <w:rsid w:val="00A931A9"/>
    <w:rsid w:val="00A937E5"/>
    <w:rsid w:val="00A93B21"/>
    <w:rsid w:val="00A93FB9"/>
    <w:rsid w:val="00A940D1"/>
    <w:rsid w:val="00A94117"/>
    <w:rsid w:val="00A942A5"/>
    <w:rsid w:val="00A94AB7"/>
    <w:rsid w:val="00A94ABA"/>
    <w:rsid w:val="00A956B5"/>
    <w:rsid w:val="00A95B02"/>
    <w:rsid w:val="00A95D1B"/>
    <w:rsid w:val="00A962E5"/>
    <w:rsid w:val="00A964A0"/>
    <w:rsid w:val="00A96A7D"/>
    <w:rsid w:val="00A96CA0"/>
    <w:rsid w:val="00A96DF0"/>
    <w:rsid w:val="00A9703C"/>
    <w:rsid w:val="00A9722C"/>
    <w:rsid w:val="00A9774D"/>
    <w:rsid w:val="00A97C6C"/>
    <w:rsid w:val="00A97D0D"/>
    <w:rsid w:val="00AA0416"/>
    <w:rsid w:val="00AA069B"/>
    <w:rsid w:val="00AA0D1C"/>
    <w:rsid w:val="00AA124C"/>
    <w:rsid w:val="00AA129D"/>
    <w:rsid w:val="00AA13B2"/>
    <w:rsid w:val="00AA14C5"/>
    <w:rsid w:val="00AA15AD"/>
    <w:rsid w:val="00AA165B"/>
    <w:rsid w:val="00AA1915"/>
    <w:rsid w:val="00AA1C3E"/>
    <w:rsid w:val="00AA2009"/>
    <w:rsid w:val="00AA2CB0"/>
    <w:rsid w:val="00AA3114"/>
    <w:rsid w:val="00AA330D"/>
    <w:rsid w:val="00AA3ADD"/>
    <w:rsid w:val="00AA3B58"/>
    <w:rsid w:val="00AA3BA3"/>
    <w:rsid w:val="00AA3C76"/>
    <w:rsid w:val="00AA416A"/>
    <w:rsid w:val="00AA43AF"/>
    <w:rsid w:val="00AA5585"/>
    <w:rsid w:val="00AA5DD3"/>
    <w:rsid w:val="00AA5F46"/>
    <w:rsid w:val="00AA6210"/>
    <w:rsid w:val="00AA643C"/>
    <w:rsid w:val="00AA66BA"/>
    <w:rsid w:val="00AA6825"/>
    <w:rsid w:val="00AA6FB5"/>
    <w:rsid w:val="00AA7151"/>
    <w:rsid w:val="00AA790C"/>
    <w:rsid w:val="00AA7E2A"/>
    <w:rsid w:val="00AA7E7D"/>
    <w:rsid w:val="00AB03CA"/>
    <w:rsid w:val="00AB07CE"/>
    <w:rsid w:val="00AB07D3"/>
    <w:rsid w:val="00AB0D85"/>
    <w:rsid w:val="00AB0FC7"/>
    <w:rsid w:val="00AB0FF7"/>
    <w:rsid w:val="00AB11CB"/>
    <w:rsid w:val="00AB2007"/>
    <w:rsid w:val="00AB22F7"/>
    <w:rsid w:val="00AB2388"/>
    <w:rsid w:val="00AB23AD"/>
    <w:rsid w:val="00AB2D1D"/>
    <w:rsid w:val="00AB2D42"/>
    <w:rsid w:val="00AB3D11"/>
    <w:rsid w:val="00AB41E3"/>
    <w:rsid w:val="00AB4B69"/>
    <w:rsid w:val="00AB551D"/>
    <w:rsid w:val="00AB5569"/>
    <w:rsid w:val="00AB5B6C"/>
    <w:rsid w:val="00AB649C"/>
    <w:rsid w:val="00AB6582"/>
    <w:rsid w:val="00AB65B4"/>
    <w:rsid w:val="00AB69D3"/>
    <w:rsid w:val="00AB69F5"/>
    <w:rsid w:val="00AB6C4D"/>
    <w:rsid w:val="00AB6CBE"/>
    <w:rsid w:val="00AB705A"/>
    <w:rsid w:val="00AB72B6"/>
    <w:rsid w:val="00AB783A"/>
    <w:rsid w:val="00AB7A29"/>
    <w:rsid w:val="00AB7B67"/>
    <w:rsid w:val="00AC08CB"/>
    <w:rsid w:val="00AC0922"/>
    <w:rsid w:val="00AC0B12"/>
    <w:rsid w:val="00AC0B60"/>
    <w:rsid w:val="00AC0D83"/>
    <w:rsid w:val="00AC0F6A"/>
    <w:rsid w:val="00AC10D4"/>
    <w:rsid w:val="00AC14F7"/>
    <w:rsid w:val="00AC1665"/>
    <w:rsid w:val="00AC199A"/>
    <w:rsid w:val="00AC1BF4"/>
    <w:rsid w:val="00AC1C76"/>
    <w:rsid w:val="00AC29E3"/>
    <w:rsid w:val="00AC2C13"/>
    <w:rsid w:val="00AC349C"/>
    <w:rsid w:val="00AC34BE"/>
    <w:rsid w:val="00AC3AC0"/>
    <w:rsid w:val="00AC435C"/>
    <w:rsid w:val="00AC448F"/>
    <w:rsid w:val="00AC5056"/>
    <w:rsid w:val="00AC5609"/>
    <w:rsid w:val="00AC584E"/>
    <w:rsid w:val="00AC58A4"/>
    <w:rsid w:val="00AC58EB"/>
    <w:rsid w:val="00AC5A1F"/>
    <w:rsid w:val="00AC5C01"/>
    <w:rsid w:val="00AC5C22"/>
    <w:rsid w:val="00AC62FD"/>
    <w:rsid w:val="00AC6BA5"/>
    <w:rsid w:val="00AC6CF5"/>
    <w:rsid w:val="00AD065C"/>
    <w:rsid w:val="00AD0781"/>
    <w:rsid w:val="00AD0BF1"/>
    <w:rsid w:val="00AD1029"/>
    <w:rsid w:val="00AD161D"/>
    <w:rsid w:val="00AD1743"/>
    <w:rsid w:val="00AD1840"/>
    <w:rsid w:val="00AD205A"/>
    <w:rsid w:val="00AD242A"/>
    <w:rsid w:val="00AD2483"/>
    <w:rsid w:val="00AD26A3"/>
    <w:rsid w:val="00AD2A3E"/>
    <w:rsid w:val="00AD2A89"/>
    <w:rsid w:val="00AD30F0"/>
    <w:rsid w:val="00AD3164"/>
    <w:rsid w:val="00AD324E"/>
    <w:rsid w:val="00AD3284"/>
    <w:rsid w:val="00AD3336"/>
    <w:rsid w:val="00AD38C1"/>
    <w:rsid w:val="00AD3F84"/>
    <w:rsid w:val="00AD430A"/>
    <w:rsid w:val="00AD4380"/>
    <w:rsid w:val="00AD4633"/>
    <w:rsid w:val="00AD4875"/>
    <w:rsid w:val="00AD4A07"/>
    <w:rsid w:val="00AD53C9"/>
    <w:rsid w:val="00AD57C8"/>
    <w:rsid w:val="00AD59B1"/>
    <w:rsid w:val="00AD61BF"/>
    <w:rsid w:val="00AD6BF8"/>
    <w:rsid w:val="00AD6DCB"/>
    <w:rsid w:val="00AD6EC9"/>
    <w:rsid w:val="00AD6EFC"/>
    <w:rsid w:val="00AD717A"/>
    <w:rsid w:val="00AD73FB"/>
    <w:rsid w:val="00AD749E"/>
    <w:rsid w:val="00AD7E3B"/>
    <w:rsid w:val="00AD7F88"/>
    <w:rsid w:val="00AE0411"/>
    <w:rsid w:val="00AE0440"/>
    <w:rsid w:val="00AE0B1B"/>
    <w:rsid w:val="00AE0E52"/>
    <w:rsid w:val="00AE1188"/>
    <w:rsid w:val="00AE1298"/>
    <w:rsid w:val="00AE2432"/>
    <w:rsid w:val="00AE27D0"/>
    <w:rsid w:val="00AE27FC"/>
    <w:rsid w:val="00AE31A9"/>
    <w:rsid w:val="00AE36D5"/>
    <w:rsid w:val="00AE3E0D"/>
    <w:rsid w:val="00AE4125"/>
    <w:rsid w:val="00AE438E"/>
    <w:rsid w:val="00AE4514"/>
    <w:rsid w:val="00AE47A8"/>
    <w:rsid w:val="00AE4A45"/>
    <w:rsid w:val="00AE507C"/>
    <w:rsid w:val="00AE51E7"/>
    <w:rsid w:val="00AE5543"/>
    <w:rsid w:val="00AE5CFD"/>
    <w:rsid w:val="00AE69F2"/>
    <w:rsid w:val="00AE77E4"/>
    <w:rsid w:val="00AE7CA1"/>
    <w:rsid w:val="00AE7DB0"/>
    <w:rsid w:val="00AE7E8E"/>
    <w:rsid w:val="00AF06AA"/>
    <w:rsid w:val="00AF0BB5"/>
    <w:rsid w:val="00AF0C32"/>
    <w:rsid w:val="00AF0E9D"/>
    <w:rsid w:val="00AF1F1F"/>
    <w:rsid w:val="00AF2986"/>
    <w:rsid w:val="00AF2CCB"/>
    <w:rsid w:val="00AF2DEB"/>
    <w:rsid w:val="00AF303A"/>
    <w:rsid w:val="00AF3648"/>
    <w:rsid w:val="00AF3880"/>
    <w:rsid w:val="00AF3AD8"/>
    <w:rsid w:val="00AF4BBF"/>
    <w:rsid w:val="00AF5436"/>
    <w:rsid w:val="00AF543A"/>
    <w:rsid w:val="00AF5798"/>
    <w:rsid w:val="00AF5FA5"/>
    <w:rsid w:val="00AF6BEE"/>
    <w:rsid w:val="00AF6D3C"/>
    <w:rsid w:val="00AF6E60"/>
    <w:rsid w:val="00AF734E"/>
    <w:rsid w:val="00AF73B4"/>
    <w:rsid w:val="00AF7534"/>
    <w:rsid w:val="00AF7584"/>
    <w:rsid w:val="00B00350"/>
    <w:rsid w:val="00B0079C"/>
    <w:rsid w:val="00B00C7F"/>
    <w:rsid w:val="00B010EF"/>
    <w:rsid w:val="00B01649"/>
    <w:rsid w:val="00B0191D"/>
    <w:rsid w:val="00B01DA1"/>
    <w:rsid w:val="00B01E24"/>
    <w:rsid w:val="00B0215D"/>
    <w:rsid w:val="00B02538"/>
    <w:rsid w:val="00B03073"/>
    <w:rsid w:val="00B03CD3"/>
    <w:rsid w:val="00B0436D"/>
    <w:rsid w:val="00B044A0"/>
    <w:rsid w:val="00B047C5"/>
    <w:rsid w:val="00B04A10"/>
    <w:rsid w:val="00B04F9E"/>
    <w:rsid w:val="00B059C1"/>
    <w:rsid w:val="00B05B5D"/>
    <w:rsid w:val="00B05E2D"/>
    <w:rsid w:val="00B064CD"/>
    <w:rsid w:val="00B0723D"/>
    <w:rsid w:val="00B07255"/>
    <w:rsid w:val="00B07369"/>
    <w:rsid w:val="00B074A0"/>
    <w:rsid w:val="00B075EA"/>
    <w:rsid w:val="00B07926"/>
    <w:rsid w:val="00B07A49"/>
    <w:rsid w:val="00B07D00"/>
    <w:rsid w:val="00B10C8E"/>
    <w:rsid w:val="00B117BC"/>
    <w:rsid w:val="00B11A8E"/>
    <w:rsid w:val="00B11ACE"/>
    <w:rsid w:val="00B11DA6"/>
    <w:rsid w:val="00B11E66"/>
    <w:rsid w:val="00B12CD4"/>
    <w:rsid w:val="00B12FB5"/>
    <w:rsid w:val="00B1318C"/>
    <w:rsid w:val="00B13422"/>
    <w:rsid w:val="00B13BEA"/>
    <w:rsid w:val="00B1449F"/>
    <w:rsid w:val="00B14A57"/>
    <w:rsid w:val="00B14F4C"/>
    <w:rsid w:val="00B155EA"/>
    <w:rsid w:val="00B1599D"/>
    <w:rsid w:val="00B15A05"/>
    <w:rsid w:val="00B15E0D"/>
    <w:rsid w:val="00B15E74"/>
    <w:rsid w:val="00B16C9E"/>
    <w:rsid w:val="00B16FAD"/>
    <w:rsid w:val="00B170CA"/>
    <w:rsid w:val="00B17AC2"/>
    <w:rsid w:val="00B205EF"/>
    <w:rsid w:val="00B20D36"/>
    <w:rsid w:val="00B20E7F"/>
    <w:rsid w:val="00B214C6"/>
    <w:rsid w:val="00B217C0"/>
    <w:rsid w:val="00B218B5"/>
    <w:rsid w:val="00B229DD"/>
    <w:rsid w:val="00B22CF5"/>
    <w:rsid w:val="00B22E9D"/>
    <w:rsid w:val="00B2320C"/>
    <w:rsid w:val="00B23397"/>
    <w:rsid w:val="00B2349D"/>
    <w:rsid w:val="00B2387C"/>
    <w:rsid w:val="00B238D6"/>
    <w:rsid w:val="00B23A44"/>
    <w:rsid w:val="00B23B85"/>
    <w:rsid w:val="00B23CA4"/>
    <w:rsid w:val="00B241B5"/>
    <w:rsid w:val="00B2422F"/>
    <w:rsid w:val="00B24BB8"/>
    <w:rsid w:val="00B24E51"/>
    <w:rsid w:val="00B2550E"/>
    <w:rsid w:val="00B255B1"/>
    <w:rsid w:val="00B259E8"/>
    <w:rsid w:val="00B25C3C"/>
    <w:rsid w:val="00B25E60"/>
    <w:rsid w:val="00B265ED"/>
    <w:rsid w:val="00B26921"/>
    <w:rsid w:val="00B26F5E"/>
    <w:rsid w:val="00B27778"/>
    <w:rsid w:val="00B27C05"/>
    <w:rsid w:val="00B27C56"/>
    <w:rsid w:val="00B301DC"/>
    <w:rsid w:val="00B301F8"/>
    <w:rsid w:val="00B31271"/>
    <w:rsid w:val="00B31476"/>
    <w:rsid w:val="00B31B81"/>
    <w:rsid w:val="00B3248B"/>
    <w:rsid w:val="00B32CC5"/>
    <w:rsid w:val="00B3310E"/>
    <w:rsid w:val="00B333C5"/>
    <w:rsid w:val="00B33816"/>
    <w:rsid w:val="00B33A0A"/>
    <w:rsid w:val="00B33F1E"/>
    <w:rsid w:val="00B345CC"/>
    <w:rsid w:val="00B34764"/>
    <w:rsid w:val="00B34872"/>
    <w:rsid w:val="00B35AC0"/>
    <w:rsid w:val="00B35DF6"/>
    <w:rsid w:val="00B35F8D"/>
    <w:rsid w:val="00B36498"/>
    <w:rsid w:val="00B36FCF"/>
    <w:rsid w:val="00B37A6A"/>
    <w:rsid w:val="00B37DB5"/>
    <w:rsid w:val="00B40C19"/>
    <w:rsid w:val="00B40C47"/>
    <w:rsid w:val="00B412F3"/>
    <w:rsid w:val="00B413A0"/>
    <w:rsid w:val="00B41712"/>
    <w:rsid w:val="00B41D6E"/>
    <w:rsid w:val="00B42691"/>
    <w:rsid w:val="00B4279F"/>
    <w:rsid w:val="00B4327F"/>
    <w:rsid w:val="00B43984"/>
    <w:rsid w:val="00B43D4A"/>
    <w:rsid w:val="00B44891"/>
    <w:rsid w:val="00B4490F"/>
    <w:rsid w:val="00B44D9C"/>
    <w:rsid w:val="00B451A8"/>
    <w:rsid w:val="00B45765"/>
    <w:rsid w:val="00B45E3B"/>
    <w:rsid w:val="00B46106"/>
    <w:rsid w:val="00B46749"/>
    <w:rsid w:val="00B46AAE"/>
    <w:rsid w:val="00B46C75"/>
    <w:rsid w:val="00B4781A"/>
    <w:rsid w:val="00B47B53"/>
    <w:rsid w:val="00B503A2"/>
    <w:rsid w:val="00B50539"/>
    <w:rsid w:val="00B5090A"/>
    <w:rsid w:val="00B50C20"/>
    <w:rsid w:val="00B51D29"/>
    <w:rsid w:val="00B520FD"/>
    <w:rsid w:val="00B52534"/>
    <w:rsid w:val="00B52576"/>
    <w:rsid w:val="00B528C7"/>
    <w:rsid w:val="00B5290A"/>
    <w:rsid w:val="00B52DA8"/>
    <w:rsid w:val="00B52FED"/>
    <w:rsid w:val="00B5495E"/>
    <w:rsid w:val="00B554CF"/>
    <w:rsid w:val="00B55994"/>
    <w:rsid w:val="00B559F0"/>
    <w:rsid w:val="00B559F2"/>
    <w:rsid w:val="00B55A27"/>
    <w:rsid w:val="00B55D38"/>
    <w:rsid w:val="00B5648D"/>
    <w:rsid w:val="00B5698F"/>
    <w:rsid w:val="00B571D6"/>
    <w:rsid w:val="00B57519"/>
    <w:rsid w:val="00B579EE"/>
    <w:rsid w:val="00B57E5D"/>
    <w:rsid w:val="00B57EA3"/>
    <w:rsid w:val="00B601EF"/>
    <w:rsid w:val="00B60401"/>
    <w:rsid w:val="00B609D0"/>
    <w:rsid w:val="00B60CE8"/>
    <w:rsid w:val="00B615D3"/>
    <w:rsid w:val="00B617BB"/>
    <w:rsid w:val="00B619B6"/>
    <w:rsid w:val="00B61A20"/>
    <w:rsid w:val="00B620CF"/>
    <w:rsid w:val="00B6226E"/>
    <w:rsid w:val="00B6256B"/>
    <w:rsid w:val="00B627BD"/>
    <w:rsid w:val="00B62DE9"/>
    <w:rsid w:val="00B630E5"/>
    <w:rsid w:val="00B6325A"/>
    <w:rsid w:val="00B63627"/>
    <w:rsid w:val="00B63E4F"/>
    <w:rsid w:val="00B63F1F"/>
    <w:rsid w:val="00B64187"/>
    <w:rsid w:val="00B64297"/>
    <w:rsid w:val="00B64648"/>
    <w:rsid w:val="00B64920"/>
    <w:rsid w:val="00B65146"/>
    <w:rsid w:val="00B6580E"/>
    <w:rsid w:val="00B660AC"/>
    <w:rsid w:val="00B6611F"/>
    <w:rsid w:val="00B6619A"/>
    <w:rsid w:val="00B6685C"/>
    <w:rsid w:val="00B66961"/>
    <w:rsid w:val="00B66EEC"/>
    <w:rsid w:val="00B67C70"/>
    <w:rsid w:val="00B700D3"/>
    <w:rsid w:val="00B7067C"/>
    <w:rsid w:val="00B70EDB"/>
    <w:rsid w:val="00B71B95"/>
    <w:rsid w:val="00B71DFD"/>
    <w:rsid w:val="00B72000"/>
    <w:rsid w:val="00B7235F"/>
    <w:rsid w:val="00B72679"/>
    <w:rsid w:val="00B728B8"/>
    <w:rsid w:val="00B72E4E"/>
    <w:rsid w:val="00B72EC6"/>
    <w:rsid w:val="00B73203"/>
    <w:rsid w:val="00B734AE"/>
    <w:rsid w:val="00B73632"/>
    <w:rsid w:val="00B738AB"/>
    <w:rsid w:val="00B738DD"/>
    <w:rsid w:val="00B742ED"/>
    <w:rsid w:val="00B7528B"/>
    <w:rsid w:val="00B75435"/>
    <w:rsid w:val="00B75523"/>
    <w:rsid w:val="00B75B3F"/>
    <w:rsid w:val="00B75FD5"/>
    <w:rsid w:val="00B76455"/>
    <w:rsid w:val="00B765BD"/>
    <w:rsid w:val="00B76632"/>
    <w:rsid w:val="00B7664C"/>
    <w:rsid w:val="00B76C13"/>
    <w:rsid w:val="00B77290"/>
    <w:rsid w:val="00B77404"/>
    <w:rsid w:val="00B77AF6"/>
    <w:rsid w:val="00B77EB5"/>
    <w:rsid w:val="00B801E7"/>
    <w:rsid w:val="00B80332"/>
    <w:rsid w:val="00B80564"/>
    <w:rsid w:val="00B81A6A"/>
    <w:rsid w:val="00B81DE6"/>
    <w:rsid w:val="00B825B5"/>
    <w:rsid w:val="00B8286C"/>
    <w:rsid w:val="00B82AFB"/>
    <w:rsid w:val="00B82C45"/>
    <w:rsid w:val="00B82E7F"/>
    <w:rsid w:val="00B83556"/>
    <w:rsid w:val="00B83C0E"/>
    <w:rsid w:val="00B84A1A"/>
    <w:rsid w:val="00B84DD2"/>
    <w:rsid w:val="00B84F1D"/>
    <w:rsid w:val="00B84FD9"/>
    <w:rsid w:val="00B8505D"/>
    <w:rsid w:val="00B852B2"/>
    <w:rsid w:val="00B85525"/>
    <w:rsid w:val="00B857FA"/>
    <w:rsid w:val="00B864D3"/>
    <w:rsid w:val="00B86E87"/>
    <w:rsid w:val="00B87D18"/>
    <w:rsid w:val="00B87F9A"/>
    <w:rsid w:val="00B90044"/>
    <w:rsid w:val="00B90121"/>
    <w:rsid w:val="00B904CA"/>
    <w:rsid w:val="00B906AD"/>
    <w:rsid w:val="00B907BB"/>
    <w:rsid w:val="00B90A1C"/>
    <w:rsid w:val="00B90A41"/>
    <w:rsid w:val="00B91BB2"/>
    <w:rsid w:val="00B922A1"/>
    <w:rsid w:val="00B922CA"/>
    <w:rsid w:val="00B92CD8"/>
    <w:rsid w:val="00B9303C"/>
    <w:rsid w:val="00B931EF"/>
    <w:rsid w:val="00B9328F"/>
    <w:rsid w:val="00B93297"/>
    <w:rsid w:val="00B93E8E"/>
    <w:rsid w:val="00B941B7"/>
    <w:rsid w:val="00B946CD"/>
    <w:rsid w:val="00B94AFB"/>
    <w:rsid w:val="00B94F60"/>
    <w:rsid w:val="00B95020"/>
    <w:rsid w:val="00B95075"/>
    <w:rsid w:val="00B9513D"/>
    <w:rsid w:val="00B955D2"/>
    <w:rsid w:val="00B95AAD"/>
    <w:rsid w:val="00B95B80"/>
    <w:rsid w:val="00B95DE6"/>
    <w:rsid w:val="00B96985"/>
    <w:rsid w:val="00B96AA3"/>
    <w:rsid w:val="00B96B01"/>
    <w:rsid w:val="00B97302"/>
    <w:rsid w:val="00B9739C"/>
    <w:rsid w:val="00B97521"/>
    <w:rsid w:val="00B977B5"/>
    <w:rsid w:val="00B97A50"/>
    <w:rsid w:val="00B97A6E"/>
    <w:rsid w:val="00BA075A"/>
    <w:rsid w:val="00BA09F5"/>
    <w:rsid w:val="00BA0AAF"/>
    <w:rsid w:val="00BA0DA2"/>
    <w:rsid w:val="00BA0FCA"/>
    <w:rsid w:val="00BA115E"/>
    <w:rsid w:val="00BA138D"/>
    <w:rsid w:val="00BA1548"/>
    <w:rsid w:val="00BA1743"/>
    <w:rsid w:val="00BA18C6"/>
    <w:rsid w:val="00BA219F"/>
    <w:rsid w:val="00BA3042"/>
    <w:rsid w:val="00BA3612"/>
    <w:rsid w:val="00BA376C"/>
    <w:rsid w:val="00BA432C"/>
    <w:rsid w:val="00BA47C9"/>
    <w:rsid w:val="00BA4808"/>
    <w:rsid w:val="00BA497C"/>
    <w:rsid w:val="00BA4ED6"/>
    <w:rsid w:val="00BA5282"/>
    <w:rsid w:val="00BA54ED"/>
    <w:rsid w:val="00BA5B5B"/>
    <w:rsid w:val="00BA609E"/>
    <w:rsid w:val="00BA65EF"/>
    <w:rsid w:val="00BA6A63"/>
    <w:rsid w:val="00BA6B15"/>
    <w:rsid w:val="00BA752B"/>
    <w:rsid w:val="00BA7563"/>
    <w:rsid w:val="00BB0142"/>
    <w:rsid w:val="00BB0808"/>
    <w:rsid w:val="00BB13F7"/>
    <w:rsid w:val="00BB17A2"/>
    <w:rsid w:val="00BB1882"/>
    <w:rsid w:val="00BB19DA"/>
    <w:rsid w:val="00BB1C03"/>
    <w:rsid w:val="00BB1E2C"/>
    <w:rsid w:val="00BB1E81"/>
    <w:rsid w:val="00BB28A2"/>
    <w:rsid w:val="00BB2D55"/>
    <w:rsid w:val="00BB2D96"/>
    <w:rsid w:val="00BB3135"/>
    <w:rsid w:val="00BB3924"/>
    <w:rsid w:val="00BB3EF5"/>
    <w:rsid w:val="00BB3F9A"/>
    <w:rsid w:val="00BB4009"/>
    <w:rsid w:val="00BB54C8"/>
    <w:rsid w:val="00BB55B0"/>
    <w:rsid w:val="00BB585B"/>
    <w:rsid w:val="00BB5C09"/>
    <w:rsid w:val="00BB5FD6"/>
    <w:rsid w:val="00BB6583"/>
    <w:rsid w:val="00BB68E8"/>
    <w:rsid w:val="00BB6931"/>
    <w:rsid w:val="00BB6CC7"/>
    <w:rsid w:val="00BB73B4"/>
    <w:rsid w:val="00BB746D"/>
    <w:rsid w:val="00BB7532"/>
    <w:rsid w:val="00BB76DA"/>
    <w:rsid w:val="00BB7810"/>
    <w:rsid w:val="00BB7FEF"/>
    <w:rsid w:val="00BC0B36"/>
    <w:rsid w:val="00BC1BA0"/>
    <w:rsid w:val="00BC1BFB"/>
    <w:rsid w:val="00BC1C57"/>
    <w:rsid w:val="00BC1D5C"/>
    <w:rsid w:val="00BC1FF1"/>
    <w:rsid w:val="00BC25A5"/>
    <w:rsid w:val="00BC26F0"/>
    <w:rsid w:val="00BC29BE"/>
    <w:rsid w:val="00BC303F"/>
    <w:rsid w:val="00BC3199"/>
    <w:rsid w:val="00BC3281"/>
    <w:rsid w:val="00BC33A0"/>
    <w:rsid w:val="00BC3B7C"/>
    <w:rsid w:val="00BC3FD2"/>
    <w:rsid w:val="00BC44EF"/>
    <w:rsid w:val="00BC4DFB"/>
    <w:rsid w:val="00BC5321"/>
    <w:rsid w:val="00BC5401"/>
    <w:rsid w:val="00BC58A4"/>
    <w:rsid w:val="00BC6350"/>
    <w:rsid w:val="00BC64DD"/>
    <w:rsid w:val="00BC6948"/>
    <w:rsid w:val="00BC6C35"/>
    <w:rsid w:val="00BC6D52"/>
    <w:rsid w:val="00BC7106"/>
    <w:rsid w:val="00BC7666"/>
    <w:rsid w:val="00BC7D6C"/>
    <w:rsid w:val="00BC7DC8"/>
    <w:rsid w:val="00BD0184"/>
    <w:rsid w:val="00BD0222"/>
    <w:rsid w:val="00BD1646"/>
    <w:rsid w:val="00BD17D3"/>
    <w:rsid w:val="00BD19D2"/>
    <w:rsid w:val="00BD2714"/>
    <w:rsid w:val="00BD32A1"/>
    <w:rsid w:val="00BD35BB"/>
    <w:rsid w:val="00BD3607"/>
    <w:rsid w:val="00BD36A4"/>
    <w:rsid w:val="00BD3852"/>
    <w:rsid w:val="00BD387A"/>
    <w:rsid w:val="00BD3F18"/>
    <w:rsid w:val="00BD4ADB"/>
    <w:rsid w:val="00BD4AEF"/>
    <w:rsid w:val="00BD5279"/>
    <w:rsid w:val="00BD56AD"/>
    <w:rsid w:val="00BD5937"/>
    <w:rsid w:val="00BD5BE9"/>
    <w:rsid w:val="00BD5D77"/>
    <w:rsid w:val="00BD6063"/>
    <w:rsid w:val="00BD615D"/>
    <w:rsid w:val="00BD63B5"/>
    <w:rsid w:val="00BD64AA"/>
    <w:rsid w:val="00BD6B66"/>
    <w:rsid w:val="00BE05FC"/>
    <w:rsid w:val="00BE07C2"/>
    <w:rsid w:val="00BE0F07"/>
    <w:rsid w:val="00BE1581"/>
    <w:rsid w:val="00BE16C1"/>
    <w:rsid w:val="00BE2283"/>
    <w:rsid w:val="00BE3225"/>
    <w:rsid w:val="00BE43C9"/>
    <w:rsid w:val="00BE4C99"/>
    <w:rsid w:val="00BE4CED"/>
    <w:rsid w:val="00BE5098"/>
    <w:rsid w:val="00BE52D2"/>
    <w:rsid w:val="00BE5442"/>
    <w:rsid w:val="00BE55C3"/>
    <w:rsid w:val="00BE5838"/>
    <w:rsid w:val="00BE5977"/>
    <w:rsid w:val="00BE60BF"/>
    <w:rsid w:val="00BE6975"/>
    <w:rsid w:val="00BE7186"/>
    <w:rsid w:val="00BE7190"/>
    <w:rsid w:val="00BE7242"/>
    <w:rsid w:val="00BE72FA"/>
    <w:rsid w:val="00BE778B"/>
    <w:rsid w:val="00BE7999"/>
    <w:rsid w:val="00BE7C37"/>
    <w:rsid w:val="00BF022C"/>
    <w:rsid w:val="00BF0F62"/>
    <w:rsid w:val="00BF0F71"/>
    <w:rsid w:val="00BF1022"/>
    <w:rsid w:val="00BF17C1"/>
    <w:rsid w:val="00BF1EB2"/>
    <w:rsid w:val="00BF2167"/>
    <w:rsid w:val="00BF2532"/>
    <w:rsid w:val="00BF25D2"/>
    <w:rsid w:val="00BF266C"/>
    <w:rsid w:val="00BF2D47"/>
    <w:rsid w:val="00BF2D73"/>
    <w:rsid w:val="00BF3225"/>
    <w:rsid w:val="00BF325D"/>
    <w:rsid w:val="00BF37D7"/>
    <w:rsid w:val="00BF3F2E"/>
    <w:rsid w:val="00BF41DE"/>
    <w:rsid w:val="00BF4B33"/>
    <w:rsid w:val="00BF50DA"/>
    <w:rsid w:val="00BF5466"/>
    <w:rsid w:val="00BF59A7"/>
    <w:rsid w:val="00BF5B15"/>
    <w:rsid w:val="00BF5C52"/>
    <w:rsid w:val="00BF5FA9"/>
    <w:rsid w:val="00BF6320"/>
    <w:rsid w:val="00BF6369"/>
    <w:rsid w:val="00BF796F"/>
    <w:rsid w:val="00BF7A4E"/>
    <w:rsid w:val="00C000D7"/>
    <w:rsid w:val="00C00446"/>
    <w:rsid w:val="00C00653"/>
    <w:rsid w:val="00C0067A"/>
    <w:rsid w:val="00C0088A"/>
    <w:rsid w:val="00C00DF2"/>
    <w:rsid w:val="00C0147A"/>
    <w:rsid w:val="00C0153D"/>
    <w:rsid w:val="00C01A1A"/>
    <w:rsid w:val="00C01EC7"/>
    <w:rsid w:val="00C0251B"/>
    <w:rsid w:val="00C02C13"/>
    <w:rsid w:val="00C02E0B"/>
    <w:rsid w:val="00C02FF4"/>
    <w:rsid w:val="00C03015"/>
    <w:rsid w:val="00C0330E"/>
    <w:rsid w:val="00C04345"/>
    <w:rsid w:val="00C046CF"/>
    <w:rsid w:val="00C04A5C"/>
    <w:rsid w:val="00C04F20"/>
    <w:rsid w:val="00C0508D"/>
    <w:rsid w:val="00C05D4B"/>
    <w:rsid w:val="00C0678E"/>
    <w:rsid w:val="00C067E8"/>
    <w:rsid w:val="00C1020A"/>
    <w:rsid w:val="00C102F8"/>
    <w:rsid w:val="00C1031A"/>
    <w:rsid w:val="00C1066C"/>
    <w:rsid w:val="00C1069D"/>
    <w:rsid w:val="00C108D7"/>
    <w:rsid w:val="00C10CCD"/>
    <w:rsid w:val="00C115E8"/>
    <w:rsid w:val="00C11719"/>
    <w:rsid w:val="00C119CC"/>
    <w:rsid w:val="00C11A23"/>
    <w:rsid w:val="00C11F46"/>
    <w:rsid w:val="00C1225A"/>
    <w:rsid w:val="00C12325"/>
    <w:rsid w:val="00C12746"/>
    <w:rsid w:val="00C12A30"/>
    <w:rsid w:val="00C12A4D"/>
    <w:rsid w:val="00C12FB3"/>
    <w:rsid w:val="00C13702"/>
    <w:rsid w:val="00C139AB"/>
    <w:rsid w:val="00C13A30"/>
    <w:rsid w:val="00C13AF7"/>
    <w:rsid w:val="00C13B6A"/>
    <w:rsid w:val="00C14120"/>
    <w:rsid w:val="00C141C8"/>
    <w:rsid w:val="00C1435D"/>
    <w:rsid w:val="00C144C4"/>
    <w:rsid w:val="00C152AE"/>
    <w:rsid w:val="00C157AC"/>
    <w:rsid w:val="00C15E13"/>
    <w:rsid w:val="00C15E28"/>
    <w:rsid w:val="00C162DB"/>
    <w:rsid w:val="00C16504"/>
    <w:rsid w:val="00C16C9D"/>
    <w:rsid w:val="00C17565"/>
    <w:rsid w:val="00C17621"/>
    <w:rsid w:val="00C179E7"/>
    <w:rsid w:val="00C17E87"/>
    <w:rsid w:val="00C201EA"/>
    <w:rsid w:val="00C20430"/>
    <w:rsid w:val="00C209F6"/>
    <w:rsid w:val="00C20A7A"/>
    <w:rsid w:val="00C21405"/>
    <w:rsid w:val="00C21ACD"/>
    <w:rsid w:val="00C21F84"/>
    <w:rsid w:val="00C22008"/>
    <w:rsid w:val="00C22FBD"/>
    <w:rsid w:val="00C23721"/>
    <w:rsid w:val="00C239C6"/>
    <w:rsid w:val="00C23C9B"/>
    <w:rsid w:val="00C2416D"/>
    <w:rsid w:val="00C24246"/>
    <w:rsid w:val="00C24820"/>
    <w:rsid w:val="00C24A29"/>
    <w:rsid w:val="00C252F7"/>
    <w:rsid w:val="00C25387"/>
    <w:rsid w:val="00C255D9"/>
    <w:rsid w:val="00C271C1"/>
    <w:rsid w:val="00C3002B"/>
    <w:rsid w:val="00C30372"/>
    <w:rsid w:val="00C3081C"/>
    <w:rsid w:val="00C310FE"/>
    <w:rsid w:val="00C311B7"/>
    <w:rsid w:val="00C313E2"/>
    <w:rsid w:val="00C31AD5"/>
    <w:rsid w:val="00C31E2D"/>
    <w:rsid w:val="00C31F47"/>
    <w:rsid w:val="00C3220E"/>
    <w:rsid w:val="00C32272"/>
    <w:rsid w:val="00C323AC"/>
    <w:rsid w:val="00C32CF1"/>
    <w:rsid w:val="00C332C1"/>
    <w:rsid w:val="00C33452"/>
    <w:rsid w:val="00C3361E"/>
    <w:rsid w:val="00C33626"/>
    <w:rsid w:val="00C338CC"/>
    <w:rsid w:val="00C339AD"/>
    <w:rsid w:val="00C33A8D"/>
    <w:rsid w:val="00C33B1A"/>
    <w:rsid w:val="00C3445E"/>
    <w:rsid w:val="00C344BE"/>
    <w:rsid w:val="00C3483D"/>
    <w:rsid w:val="00C359F3"/>
    <w:rsid w:val="00C361B1"/>
    <w:rsid w:val="00C36279"/>
    <w:rsid w:val="00C3667E"/>
    <w:rsid w:val="00C366DC"/>
    <w:rsid w:val="00C369FA"/>
    <w:rsid w:val="00C370D3"/>
    <w:rsid w:val="00C375F7"/>
    <w:rsid w:val="00C37818"/>
    <w:rsid w:val="00C404EF"/>
    <w:rsid w:val="00C40804"/>
    <w:rsid w:val="00C40E4D"/>
    <w:rsid w:val="00C41258"/>
    <w:rsid w:val="00C41591"/>
    <w:rsid w:val="00C42A1B"/>
    <w:rsid w:val="00C42AA0"/>
    <w:rsid w:val="00C4309A"/>
    <w:rsid w:val="00C43485"/>
    <w:rsid w:val="00C43594"/>
    <w:rsid w:val="00C43677"/>
    <w:rsid w:val="00C4381E"/>
    <w:rsid w:val="00C439A3"/>
    <w:rsid w:val="00C43DD1"/>
    <w:rsid w:val="00C44322"/>
    <w:rsid w:val="00C443F5"/>
    <w:rsid w:val="00C44667"/>
    <w:rsid w:val="00C44987"/>
    <w:rsid w:val="00C44DFD"/>
    <w:rsid w:val="00C44E5A"/>
    <w:rsid w:val="00C45099"/>
    <w:rsid w:val="00C4513C"/>
    <w:rsid w:val="00C451CB"/>
    <w:rsid w:val="00C451CE"/>
    <w:rsid w:val="00C45E04"/>
    <w:rsid w:val="00C45F23"/>
    <w:rsid w:val="00C46182"/>
    <w:rsid w:val="00C463FF"/>
    <w:rsid w:val="00C46418"/>
    <w:rsid w:val="00C46830"/>
    <w:rsid w:val="00C4692B"/>
    <w:rsid w:val="00C46DC6"/>
    <w:rsid w:val="00C4724A"/>
    <w:rsid w:val="00C474D9"/>
    <w:rsid w:val="00C47E07"/>
    <w:rsid w:val="00C47FC1"/>
    <w:rsid w:val="00C50B25"/>
    <w:rsid w:val="00C50BF4"/>
    <w:rsid w:val="00C50CFC"/>
    <w:rsid w:val="00C51107"/>
    <w:rsid w:val="00C5122B"/>
    <w:rsid w:val="00C514B4"/>
    <w:rsid w:val="00C515A3"/>
    <w:rsid w:val="00C51780"/>
    <w:rsid w:val="00C52324"/>
    <w:rsid w:val="00C52675"/>
    <w:rsid w:val="00C526CF"/>
    <w:rsid w:val="00C52978"/>
    <w:rsid w:val="00C52A3B"/>
    <w:rsid w:val="00C52BB4"/>
    <w:rsid w:val="00C53654"/>
    <w:rsid w:val="00C53808"/>
    <w:rsid w:val="00C53860"/>
    <w:rsid w:val="00C53C00"/>
    <w:rsid w:val="00C540C0"/>
    <w:rsid w:val="00C54909"/>
    <w:rsid w:val="00C54A77"/>
    <w:rsid w:val="00C54F48"/>
    <w:rsid w:val="00C552A6"/>
    <w:rsid w:val="00C552FE"/>
    <w:rsid w:val="00C55F8D"/>
    <w:rsid w:val="00C566A2"/>
    <w:rsid w:val="00C56851"/>
    <w:rsid w:val="00C56E4E"/>
    <w:rsid w:val="00C57079"/>
    <w:rsid w:val="00C570CE"/>
    <w:rsid w:val="00C573A3"/>
    <w:rsid w:val="00C573C5"/>
    <w:rsid w:val="00C57A54"/>
    <w:rsid w:val="00C6082E"/>
    <w:rsid w:val="00C61071"/>
    <w:rsid w:val="00C6107D"/>
    <w:rsid w:val="00C61B6E"/>
    <w:rsid w:val="00C61E5A"/>
    <w:rsid w:val="00C62941"/>
    <w:rsid w:val="00C629A4"/>
    <w:rsid w:val="00C62E94"/>
    <w:rsid w:val="00C62FC3"/>
    <w:rsid w:val="00C64449"/>
    <w:rsid w:val="00C646F0"/>
    <w:rsid w:val="00C648F4"/>
    <w:rsid w:val="00C64AC1"/>
    <w:rsid w:val="00C64B06"/>
    <w:rsid w:val="00C64D9E"/>
    <w:rsid w:val="00C6503D"/>
    <w:rsid w:val="00C650A3"/>
    <w:rsid w:val="00C650FE"/>
    <w:rsid w:val="00C65501"/>
    <w:rsid w:val="00C657CE"/>
    <w:rsid w:val="00C666ED"/>
    <w:rsid w:val="00C66715"/>
    <w:rsid w:val="00C66973"/>
    <w:rsid w:val="00C67865"/>
    <w:rsid w:val="00C67934"/>
    <w:rsid w:val="00C67AAA"/>
    <w:rsid w:val="00C67BC8"/>
    <w:rsid w:val="00C67E24"/>
    <w:rsid w:val="00C67EE8"/>
    <w:rsid w:val="00C710B9"/>
    <w:rsid w:val="00C714B6"/>
    <w:rsid w:val="00C7185D"/>
    <w:rsid w:val="00C7207E"/>
    <w:rsid w:val="00C72563"/>
    <w:rsid w:val="00C725AE"/>
    <w:rsid w:val="00C728A1"/>
    <w:rsid w:val="00C728F9"/>
    <w:rsid w:val="00C72956"/>
    <w:rsid w:val="00C72AF4"/>
    <w:rsid w:val="00C72D24"/>
    <w:rsid w:val="00C72F71"/>
    <w:rsid w:val="00C734C5"/>
    <w:rsid w:val="00C73544"/>
    <w:rsid w:val="00C73AF4"/>
    <w:rsid w:val="00C73B88"/>
    <w:rsid w:val="00C73C65"/>
    <w:rsid w:val="00C742B7"/>
    <w:rsid w:val="00C74B2D"/>
    <w:rsid w:val="00C74DF2"/>
    <w:rsid w:val="00C750CE"/>
    <w:rsid w:val="00C751A5"/>
    <w:rsid w:val="00C7588B"/>
    <w:rsid w:val="00C75A61"/>
    <w:rsid w:val="00C75A89"/>
    <w:rsid w:val="00C76589"/>
    <w:rsid w:val="00C765AB"/>
    <w:rsid w:val="00C765DE"/>
    <w:rsid w:val="00C76AEA"/>
    <w:rsid w:val="00C76BCA"/>
    <w:rsid w:val="00C76CD8"/>
    <w:rsid w:val="00C76F67"/>
    <w:rsid w:val="00C8056D"/>
    <w:rsid w:val="00C80597"/>
    <w:rsid w:val="00C805FD"/>
    <w:rsid w:val="00C80752"/>
    <w:rsid w:val="00C80F63"/>
    <w:rsid w:val="00C81D02"/>
    <w:rsid w:val="00C81F97"/>
    <w:rsid w:val="00C824C2"/>
    <w:rsid w:val="00C825A8"/>
    <w:rsid w:val="00C826F4"/>
    <w:rsid w:val="00C828F7"/>
    <w:rsid w:val="00C82C2D"/>
    <w:rsid w:val="00C83108"/>
    <w:rsid w:val="00C8357C"/>
    <w:rsid w:val="00C835BF"/>
    <w:rsid w:val="00C84142"/>
    <w:rsid w:val="00C8454B"/>
    <w:rsid w:val="00C85051"/>
    <w:rsid w:val="00C8507E"/>
    <w:rsid w:val="00C85A41"/>
    <w:rsid w:val="00C85A54"/>
    <w:rsid w:val="00C85B81"/>
    <w:rsid w:val="00C85D33"/>
    <w:rsid w:val="00C85E7A"/>
    <w:rsid w:val="00C860F9"/>
    <w:rsid w:val="00C862E9"/>
    <w:rsid w:val="00C86646"/>
    <w:rsid w:val="00C86A78"/>
    <w:rsid w:val="00C86B81"/>
    <w:rsid w:val="00C86CAC"/>
    <w:rsid w:val="00C8770A"/>
    <w:rsid w:val="00C87B1B"/>
    <w:rsid w:val="00C9014F"/>
    <w:rsid w:val="00C906DF"/>
    <w:rsid w:val="00C90806"/>
    <w:rsid w:val="00C90854"/>
    <w:rsid w:val="00C90B38"/>
    <w:rsid w:val="00C90D7C"/>
    <w:rsid w:val="00C916F7"/>
    <w:rsid w:val="00C91B94"/>
    <w:rsid w:val="00C91D39"/>
    <w:rsid w:val="00C91E6B"/>
    <w:rsid w:val="00C921D7"/>
    <w:rsid w:val="00C92259"/>
    <w:rsid w:val="00C925AC"/>
    <w:rsid w:val="00C92702"/>
    <w:rsid w:val="00C92919"/>
    <w:rsid w:val="00C92B3B"/>
    <w:rsid w:val="00C92B9E"/>
    <w:rsid w:val="00C92E3A"/>
    <w:rsid w:val="00C93062"/>
    <w:rsid w:val="00C93494"/>
    <w:rsid w:val="00C93A9A"/>
    <w:rsid w:val="00C93E90"/>
    <w:rsid w:val="00C94075"/>
    <w:rsid w:val="00C940DD"/>
    <w:rsid w:val="00C94EE3"/>
    <w:rsid w:val="00C94F33"/>
    <w:rsid w:val="00C95394"/>
    <w:rsid w:val="00C95724"/>
    <w:rsid w:val="00C96837"/>
    <w:rsid w:val="00C969FC"/>
    <w:rsid w:val="00C96BDD"/>
    <w:rsid w:val="00C970E8"/>
    <w:rsid w:val="00C9732F"/>
    <w:rsid w:val="00C9789D"/>
    <w:rsid w:val="00CA00CE"/>
    <w:rsid w:val="00CA081D"/>
    <w:rsid w:val="00CA0A53"/>
    <w:rsid w:val="00CA0F2F"/>
    <w:rsid w:val="00CA10E5"/>
    <w:rsid w:val="00CA160F"/>
    <w:rsid w:val="00CA1BFA"/>
    <w:rsid w:val="00CA1CC0"/>
    <w:rsid w:val="00CA228C"/>
    <w:rsid w:val="00CA2E61"/>
    <w:rsid w:val="00CA3AB1"/>
    <w:rsid w:val="00CA488C"/>
    <w:rsid w:val="00CA4BE0"/>
    <w:rsid w:val="00CA4E3E"/>
    <w:rsid w:val="00CA5254"/>
    <w:rsid w:val="00CA5705"/>
    <w:rsid w:val="00CA6052"/>
    <w:rsid w:val="00CA6100"/>
    <w:rsid w:val="00CA6351"/>
    <w:rsid w:val="00CA6724"/>
    <w:rsid w:val="00CA6B01"/>
    <w:rsid w:val="00CA6D65"/>
    <w:rsid w:val="00CA6D69"/>
    <w:rsid w:val="00CA6D6B"/>
    <w:rsid w:val="00CA6E27"/>
    <w:rsid w:val="00CA7159"/>
    <w:rsid w:val="00CA74A2"/>
    <w:rsid w:val="00CA7C3A"/>
    <w:rsid w:val="00CB07D1"/>
    <w:rsid w:val="00CB0DEF"/>
    <w:rsid w:val="00CB12B9"/>
    <w:rsid w:val="00CB14DF"/>
    <w:rsid w:val="00CB1C7C"/>
    <w:rsid w:val="00CB1C86"/>
    <w:rsid w:val="00CB257B"/>
    <w:rsid w:val="00CB2AB0"/>
    <w:rsid w:val="00CB2D85"/>
    <w:rsid w:val="00CB36AC"/>
    <w:rsid w:val="00CB4653"/>
    <w:rsid w:val="00CB46A2"/>
    <w:rsid w:val="00CB4EDE"/>
    <w:rsid w:val="00CB5099"/>
    <w:rsid w:val="00CB5A85"/>
    <w:rsid w:val="00CB5E40"/>
    <w:rsid w:val="00CB5EF9"/>
    <w:rsid w:val="00CB63AD"/>
    <w:rsid w:val="00CB63BE"/>
    <w:rsid w:val="00CB64B3"/>
    <w:rsid w:val="00CB67C0"/>
    <w:rsid w:val="00CB6D19"/>
    <w:rsid w:val="00CB7401"/>
    <w:rsid w:val="00CB768F"/>
    <w:rsid w:val="00CC0791"/>
    <w:rsid w:val="00CC0CAA"/>
    <w:rsid w:val="00CC0E60"/>
    <w:rsid w:val="00CC1210"/>
    <w:rsid w:val="00CC1247"/>
    <w:rsid w:val="00CC13DB"/>
    <w:rsid w:val="00CC2313"/>
    <w:rsid w:val="00CC2A3F"/>
    <w:rsid w:val="00CC2AD8"/>
    <w:rsid w:val="00CC315C"/>
    <w:rsid w:val="00CC3213"/>
    <w:rsid w:val="00CC3378"/>
    <w:rsid w:val="00CC3BF3"/>
    <w:rsid w:val="00CC3D89"/>
    <w:rsid w:val="00CC3DBF"/>
    <w:rsid w:val="00CC3EE4"/>
    <w:rsid w:val="00CC4298"/>
    <w:rsid w:val="00CC4521"/>
    <w:rsid w:val="00CC49DA"/>
    <w:rsid w:val="00CC4B21"/>
    <w:rsid w:val="00CC4D24"/>
    <w:rsid w:val="00CC5548"/>
    <w:rsid w:val="00CC567B"/>
    <w:rsid w:val="00CC5A4E"/>
    <w:rsid w:val="00CC5D3A"/>
    <w:rsid w:val="00CC5E48"/>
    <w:rsid w:val="00CC64D1"/>
    <w:rsid w:val="00CC67D1"/>
    <w:rsid w:val="00CC6E62"/>
    <w:rsid w:val="00CC75C5"/>
    <w:rsid w:val="00CC76CE"/>
    <w:rsid w:val="00CC7D3A"/>
    <w:rsid w:val="00CD01DC"/>
    <w:rsid w:val="00CD06C3"/>
    <w:rsid w:val="00CD0B17"/>
    <w:rsid w:val="00CD1145"/>
    <w:rsid w:val="00CD11CE"/>
    <w:rsid w:val="00CD1785"/>
    <w:rsid w:val="00CD17AA"/>
    <w:rsid w:val="00CD17D2"/>
    <w:rsid w:val="00CD17DB"/>
    <w:rsid w:val="00CD1C9F"/>
    <w:rsid w:val="00CD1E4E"/>
    <w:rsid w:val="00CD1FE0"/>
    <w:rsid w:val="00CD23E0"/>
    <w:rsid w:val="00CD2681"/>
    <w:rsid w:val="00CD28A6"/>
    <w:rsid w:val="00CD2E5F"/>
    <w:rsid w:val="00CD3033"/>
    <w:rsid w:val="00CD320D"/>
    <w:rsid w:val="00CD3C96"/>
    <w:rsid w:val="00CD42A4"/>
    <w:rsid w:val="00CD4AD3"/>
    <w:rsid w:val="00CD4B21"/>
    <w:rsid w:val="00CD4F22"/>
    <w:rsid w:val="00CD5221"/>
    <w:rsid w:val="00CD54FB"/>
    <w:rsid w:val="00CD569F"/>
    <w:rsid w:val="00CD57E6"/>
    <w:rsid w:val="00CD586C"/>
    <w:rsid w:val="00CD5C09"/>
    <w:rsid w:val="00CD5C3D"/>
    <w:rsid w:val="00CD601D"/>
    <w:rsid w:val="00CD6106"/>
    <w:rsid w:val="00CD67D3"/>
    <w:rsid w:val="00CD6DB9"/>
    <w:rsid w:val="00CD6DBE"/>
    <w:rsid w:val="00CD6E16"/>
    <w:rsid w:val="00CD6E9C"/>
    <w:rsid w:val="00CD714C"/>
    <w:rsid w:val="00CD7250"/>
    <w:rsid w:val="00CD7394"/>
    <w:rsid w:val="00CD73D8"/>
    <w:rsid w:val="00CD7517"/>
    <w:rsid w:val="00CD7AE7"/>
    <w:rsid w:val="00CD7B63"/>
    <w:rsid w:val="00CD7C47"/>
    <w:rsid w:val="00CD7DF2"/>
    <w:rsid w:val="00CE0011"/>
    <w:rsid w:val="00CE00F0"/>
    <w:rsid w:val="00CE01A8"/>
    <w:rsid w:val="00CE01AE"/>
    <w:rsid w:val="00CE01ED"/>
    <w:rsid w:val="00CE0785"/>
    <w:rsid w:val="00CE08BB"/>
    <w:rsid w:val="00CE0CC7"/>
    <w:rsid w:val="00CE1192"/>
    <w:rsid w:val="00CE14BB"/>
    <w:rsid w:val="00CE152C"/>
    <w:rsid w:val="00CE1605"/>
    <w:rsid w:val="00CE1971"/>
    <w:rsid w:val="00CE1A1F"/>
    <w:rsid w:val="00CE1BB8"/>
    <w:rsid w:val="00CE1D81"/>
    <w:rsid w:val="00CE233E"/>
    <w:rsid w:val="00CE31EC"/>
    <w:rsid w:val="00CE326C"/>
    <w:rsid w:val="00CE3397"/>
    <w:rsid w:val="00CE33E4"/>
    <w:rsid w:val="00CE3AF2"/>
    <w:rsid w:val="00CE3BA7"/>
    <w:rsid w:val="00CE4038"/>
    <w:rsid w:val="00CE4A29"/>
    <w:rsid w:val="00CE4AC5"/>
    <w:rsid w:val="00CE4DCB"/>
    <w:rsid w:val="00CE5743"/>
    <w:rsid w:val="00CE5C00"/>
    <w:rsid w:val="00CE5D74"/>
    <w:rsid w:val="00CE5E01"/>
    <w:rsid w:val="00CE5F28"/>
    <w:rsid w:val="00CE6051"/>
    <w:rsid w:val="00CE6544"/>
    <w:rsid w:val="00CE70DF"/>
    <w:rsid w:val="00CE745F"/>
    <w:rsid w:val="00CE784C"/>
    <w:rsid w:val="00CE793F"/>
    <w:rsid w:val="00CE7FB8"/>
    <w:rsid w:val="00CF000B"/>
    <w:rsid w:val="00CF01D8"/>
    <w:rsid w:val="00CF0265"/>
    <w:rsid w:val="00CF026F"/>
    <w:rsid w:val="00CF073D"/>
    <w:rsid w:val="00CF104D"/>
    <w:rsid w:val="00CF181E"/>
    <w:rsid w:val="00CF19B3"/>
    <w:rsid w:val="00CF24B6"/>
    <w:rsid w:val="00CF2671"/>
    <w:rsid w:val="00CF2C0D"/>
    <w:rsid w:val="00CF2FF5"/>
    <w:rsid w:val="00CF30F4"/>
    <w:rsid w:val="00CF3516"/>
    <w:rsid w:val="00CF399D"/>
    <w:rsid w:val="00CF3B19"/>
    <w:rsid w:val="00CF3D85"/>
    <w:rsid w:val="00CF4F9B"/>
    <w:rsid w:val="00CF58FD"/>
    <w:rsid w:val="00CF59C3"/>
    <w:rsid w:val="00CF5CD7"/>
    <w:rsid w:val="00CF5FC6"/>
    <w:rsid w:val="00CF603C"/>
    <w:rsid w:val="00CF6441"/>
    <w:rsid w:val="00CF7BA2"/>
    <w:rsid w:val="00D00744"/>
    <w:rsid w:val="00D0076B"/>
    <w:rsid w:val="00D00943"/>
    <w:rsid w:val="00D00D09"/>
    <w:rsid w:val="00D00DC9"/>
    <w:rsid w:val="00D0123F"/>
    <w:rsid w:val="00D019C5"/>
    <w:rsid w:val="00D01C59"/>
    <w:rsid w:val="00D01F12"/>
    <w:rsid w:val="00D01F2B"/>
    <w:rsid w:val="00D02089"/>
    <w:rsid w:val="00D02801"/>
    <w:rsid w:val="00D02908"/>
    <w:rsid w:val="00D029CE"/>
    <w:rsid w:val="00D02C72"/>
    <w:rsid w:val="00D03007"/>
    <w:rsid w:val="00D03589"/>
    <w:rsid w:val="00D036C8"/>
    <w:rsid w:val="00D03712"/>
    <w:rsid w:val="00D03B7A"/>
    <w:rsid w:val="00D03D29"/>
    <w:rsid w:val="00D04CF2"/>
    <w:rsid w:val="00D04DD3"/>
    <w:rsid w:val="00D04E65"/>
    <w:rsid w:val="00D050AA"/>
    <w:rsid w:val="00D05136"/>
    <w:rsid w:val="00D054BC"/>
    <w:rsid w:val="00D05570"/>
    <w:rsid w:val="00D0598D"/>
    <w:rsid w:val="00D05990"/>
    <w:rsid w:val="00D059D5"/>
    <w:rsid w:val="00D05C5B"/>
    <w:rsid w:val="00D05E2A"/>
    <w:rsid w:val="00D063EA"/>
    <w:rsid w:val="00D064A6"/>
    <w:rsid w:val="00D066B3"/>
    <w:rsid w:val="00D06C50"/>
    <w:rsid w:val="00D076BB"/>
    <w:rsid w:val="00D07FC3"/>
    <w:rsid w:val="00D1011B"/>
    <w:rsid w:val="00D101B8"/>
    <w:rsid w:val="00D102EA"/>
    <w:rsid w:val="00D106D8"/>
    <w:rsid w:val="00D10979"/>
    <w:rsid w:val="00D10E34"/>
    <w:rsid w:val="00D10E84"/>
    <w:rsid w:val="00D10F0D"/>
    <w:rsid w:val="00D12A69"/>
    <w:rsid w:val="00D12ACC"/>
    <w:rsid w:val="00D12C66"/>
    <w:rsid w:val="00D132E0"/>
    <w:rsid w:val="00D146F8"/>
    <w:rsid w:val="00D1543B"/>
    <w:rsid w:val="00D15908"/>
    <w:rsid w:val="00D159C4"/>
    <w:rsid w:val="00D15A8A"/>
    <w:rsid w:val="00D15F79"/>
    <w:rsid w:val="00D163FB"/>
    <w:rsid w:val="00D1651D"/>
    <w:rsid w:val="00D1654E"/>
    <w:rsid w:val="00D16907"/>
    <w:rsid w:val="00D16928"/>
    <w:rsid w:val="00D16DCC"/>
    <w:rsid w:val="00D172B3"/>
    <w:rsid w:val="00D172EA"/>
    <w:rsid w:val="00D173C7"/>
    <w:rsid w:val="00D17820"/>
    <w:rsid w:val="00D208D0"/>
    <w:rsid w:val="00D20BB9"/>
    <w:rsid w:val="00D2134B"/>
    <w:rsid w:val="00D21482"/>
    <w:rsid w:val="00D223A2"/>
    <w:rsid w:val="00D224CA"/>
    <w:rsid w:val="00D2254B"/>
    <w:rsid w:val="00D23005"/>
    <w:rsid w:val="00D23131"/>
    <w:rsid w:val="00D234E8"/>
    <w:rsid w:val="00D2350F"/>
    <w:rsid w:val="00D23981"/>
    <w:rsid w:val="00D23FD4"/>
    <w:rsid w:val="00D244C2"/>
    <w:rsid w:val="00D246B1"/>
    <w:rsid w:val="00D246B7"/>
    <w:rsid w:val="00D24D0F"/>
    <w:rsid w:val="00D24E1B"/>
    <w:rsid w:val="00D25A90"/>
    <w:rsid w:val="00D25BE4"/>
    <w:rsid w:val="00D25D78"/>
    <w:rsid w:val="00D2628F"/>
    <w:rsid w:val="00D27738"/>
    <w:rsid w:val="00D27BB1"/>
    <w:rsid w:val="00D304FD"/>
    <w:rsid w:val="00D305D4"/>
    <w:rsid w:val="00D308F1"/>
    <w:rsid w:val="00D30971"/>
    <w:rsid w:val="00D30FF7"/>
    <w:rsid w:val="00D314FE"/>
    <w:rsid w:val="00D316A2"/>
    <w:rsid w:val="00D31853"/>
    <w:rsid w:val="00D31CE7"/>
    <w:rsid w:val="00D31F12"/>
    <w:rsid w:val="00D32014"/>
    <w:rsid w:val="00D3202D"/>
    <w:rsid w:val="00D320DF"/>
    <w:rsid w:val="00D32714"/>
    <w:rsid w:val="00D3375B"/>
    <w:rsid w:val="00D33777"/>
    <w:rsid w:val="00D33A80"/>
    <w:rsid w:val="00D33BF0"/>
    <w:rsid w:val="00D33E5A"/>
    <w:rsid w:val="00D34400"/>
    <w:rsid w:val="00D34686"/>
    <w:rsid w:val="00D346E3"/>
    <w:rsid w:val="00D34BA5"/>
    <w:rsid w:val="00D35076"/>
    <w:rsid w:val="00D350C7"/>
    <w:rsid w:val="00D3538A"/>
    <w:rsid w:val="00D355B7"/>
    <w:rsid w:val="00D355C8"/>
    <w:rsid w:val="00D35D67"/>
    <w:rsid w:val="00D3609E"/>
    <w:rsid w:val="00D363A4"/>
    <w:rsid w:val="00D36410"/>
    <w:rsid w:val="00D36908"/>
    <w:rsid w:val="00D36D4F"/>
    <w:rsid w:val="00D36E0E"/>
    <w:rsid w:val="00D36FBB"/>
    <w:rsid w:val="00D370DF"/>
    <w:rsid w:val="00D37269"/>
    <w:rsid w:val="00D379D1"/>
    <w:rsid w:val="00D40056"/>
    <w:rsid w:val="00D4012B"/>
    <w:rsid w:val="00D4028A"/>
    <w:rsid w:val="00D40643"/>
    <w:rsid w:val="00D40C0B"/>
    <w:rsid w:val="00D40D18"/>
    <w:rsid w:val="00D412B5"/>
    <w:rsid w:val="00D41A67"/>
    <w:rsid w:val="00D41C20"/>
    <w:rsid w:val="00D41C97"/>
    <w:rsid w:val="00D41F66"/>
    <w:rsid w:val="00D4258B"/>
    <w:rsid w:val="00D42BC8"/>
    <w:rsid w:val="00D4307D"/>
    <w:rsid w:val="00D43372"/>
    <w:rsid w:val="00D434CD"/>
    <w:rsid w:val="00D44224"/>
    <w:rsid w:val="00D44257"/>
    <w:rsid w:val="00D442D3"/>
    <w:rsid w:val="00D4457D"/>
    <w:rsid w:val="00D45214"/>
    <w:rsid w:val="00D461BF"/>
    <w:rsid w:val="00D4625A"/>
    <w:rsid w:val="00D46599"/>
    <w:rsid w:val="00D469FA"/>
    <w:rsid w:val="00D46C31"/>
    <w:rsid w:val="00D46CE0"/>
    <w:rsid w:val="00D4739B"/>
    <w:rsid w:val="00D4795D"/>
    <w:rsid w:val="00D47A17"/>
    <w:rsid w:val="00D47AA3"/>
    <w:rsid w:val="00D47D43"/>
    <w:rsid w:val="00D47E1F"/>
    <w:rsid w:val="00D509AD"/>
    <w:rsid w:val="00D50DB7"/>
    <w:rsid w:val="00D51005"/>
    <w:rsid w:val="00D5140D"/>
    <w:rsid w:val="00D51598"/>
    <w:rsid w:val="00D51787"/>
    <w:rsid w:val="00D517E7"/>
    <w:rsid w:val="00D51A9A"/>
    <w:rsid w:val="00D51AC6"/>
    <w:rsid w:val="00D52055"/>
    <w:rsid w:val="00D52159"/>
    <w:rsid w:val="00D5221C"/>
    <w:rsid w:val="00D528D4"/>
    <w:rsid w:val="00D536DB"/>
    <w:rsid w:val="00D53841"/>
    <w:rsid w:val="00D53876"/>
    <w:rsid w:val="00D5458F"/>
    <w:rsid w:val="00D547A1"/>
    <w:rsid w:val="00D54E05"/>
    <w:rsid w:val="00D5528B"/>
    <w:rsid w:val="00D556E9"/>
    <w:rsid w:val="00D558C0"/>
    <w:rsid w:val="00D55A8D"/>
    <w:rsid w:val="00D55B22"/>
    <w:rsid w:val="00D55B74"/>
    <w:rsid w:val="00D560F9"/>
    <w:rsid w:val="00D5619C"/>
    <w:rsid w:val="00D565D7"/>
    <w:rsid w:val="00D56EB5"/>
    <w:rsid w:val="00D57262"/>
    <w:rsid w:val="00D575AE"/>
    <w:rsid w:val="00D57C92"/>
    <w:rsid w:val="00D60796"/>
    <w:rsid w:val="00D60CCA"/>
    <w:rsid w:val="00D60D5A"/>
    <w:rsid w:val="00D61543"/>
    <w:rsid w:val="00D61729"/>
    <w:rsid w:val="00D61877"/>
    <w:rsid w:val="00D61E5F"/>
    <w:rsid w:val="00D621E1"/>
    <w:rsid w:val="00D627C6"/>
    <w:rsid w:val="00D627E8"/>
    <w:rsid w:val="00D62BDC"/>
    <w:rsid w:val="00D62CC2"/>
    <w:rsid w:val="00D62ED2"/>
    <w:rsid w:val="00D63365"/>
    <w:rsid w:val="00D63680"/>
    <w:rsid w:val="00D63AE7"/>
    <w:rsid w:val="00D63B70"/>
    <w:rsid w:val="00D64074"/>
    <w:rsid w:val="00D64928"/>
    <w:rsid w:val="00D64E0D"/>
    <w:rsid w:val="00D65424"/>
    <w:rsid w:val="00D656A4"/>
    <w:rsid w:val="00D65877"/>
    <w:rsid w:val="00D65D58"/>
    <w:rsid w:val="00D66050"/>
    <w:rsid w:val="00D663EC"/>
    <w:rsid w:val="00D669BB"/>
    <w:rsid w:val="00D66AF3"/>
    <w:rsid w:val="00D66CFF"/>
    <w:rsid w:val="00D674DF"/>
    <w:rsid w:val="00D679CB"/>
    <w:rsid w:val="00D67C0A"/>
    <w:rsid w:val="00D67C7C"/>
    <w:rsid w:val="00D706C1"/>
    <w:rsid w:val="00D70793"/>
    <w:rsid w:val="00D70958"/>
    <w:rsid w:val="00D710A6"/>
    <w:rsid w:val="00D712DC"/>
    <w:rsid w:val="00D718C7"/>
    <w:rsid w:val="00D71F2F"/>
    <w:rsid w:val="00D71FFF"/>
    <w:rsid w:val="00D724C3"/>
    <w:rsid w:val="00D724E6"/>
    <w:rsid w:val="00D729B7"/>
    <w:rsid w:val="00D72AD0"/>
    <w:rsid w:val="00D72ED0"/>
    <w:rsid w:val="00D72FD0"/>
    <w:rsid w:val="00D734E0"/>
    <w:rsid w:val="00D74124"/>
    <w:rsid w:val="00D744B6"/>
    <w:rsid w:val="00D75250"/>
    <w:rsid w:val="00D7568A"/>
    <w:rsid w:val="00D759FE"/>
    <w:rsid w:val="00D75FD7"/>
    <w:rsid w:val="00D7642F"/>
    <w:rsid w:val="00D76461"/>
    <w:rsid w:val="00D76B3B"/>
    <w:rsid w:val="00D76B66"/>
    <w:rsid w:val="00D77192"/>
    <w:rsid w:val="00D772C4"/>
    <w:rsid w:val="00D77436"/>
    <w:rsid w:val="00D7749E"/>
    <w:rsid w:val="00D77B7E"/>
    <w:rsid w:val="00D77BD1"/>
    <w:rsid w:val="00D77F34"/>
    <w:rsid w:val="00D80584"/>
    <w:rsid w:val="00D80E30"/>
    <w:rsid w:val="00D80E60"/>
    <w:rsid w:val="00D80F1F"/>
    <w:rsid w:val="00D810C0"/>
    <w:rsid w:val="00D81DDC"/>
    <w:rsid w:val="00D8239C"/>
    <w:rsid w:val="00D827CF"/>
    <w:rsid w:val="00D8286D"/>
    <w:rsid w:val="00D82909"/>
    <w:rsid w:val="00D82A06"/>
    <w:rsid w:val="00D82CBD"/>
    <w:rsid w:val="00D82FC5"/>
    <w:rsid w:val="00D830AB"/>
    <w:rsid w:val="00D8333A"/>
    <w:rsid w:val="00D8347B"/>
    <w:rsid w:val="00D8365D"/>
    <w:rsid w:val="00D836BF"/>
    <w:rsid w:val="00D838D4"/>
    <w:rsid w:val="00D83915"/>
    <w:rsid w:val="00D83D01"/>
    <w:rsid w:val="00D8439F"/>
    <w:rsid w:val="00D84836"/>
    <w:rsid w:val="00D84B0F"/>
    <w:rsid w:val="00D85216"/>
    <w:rsid w:val="00D854CD"/>
    <w:rsid w:val="00D8553F"/>
    <w:rsid w:val="00D857B3"/>
    <w:rsid w:val="00D85B00"/>
    <w:rsid w:val="00D86085"/>
    <w:rsid w:val="00D864C4"/>
    <w:rsid w:val="00D868B9"/>
    <w:rsid w:val="00D86C63"/>
    <w:rsid w:val="00D86F4F"/>
    <w:rsid w:val="00D870AC"/>
    <w:rsid w:val="00D872A5"/>
    <w:rsid w:val="00D8733A"/>
    <w:rsid w:val="00D8742B"/>
    <w:rsid w:val="00D8778F"/>
    <w:rsid w:val="00D87B2F"/>
    <w:rsid w:val="00D900A3"/>
    <w:rsid w:val="00D90627"/>
    <w:rsid w:val="00D906B9"/>
    <w:rsid w:val="00D90CFB"/>
    <w:rsid w:val="00D90DB3"/>
    <w:rsid w:val="00D91074"/>
    <w:rsid w:val="00D912E7"/>
    <w:rsid w:val="00D9136B"/>
    <w:rsid w:val="00D91C39"/>
    <w:rsid w:val="00D91C76"/>
    <w:rsid w:val="00D91FAA"/>
    <w:rsid w:val="00D9206B"/>
    <w:rsid w:val="00D927E8"/>
    <w:rsid w:val="00D929CA"/>
    <w:rsid w:val="00D92FEE"/>
    <w:rsid w:val="00D9362C"/>
    <w:rsid w:val="00D9376A"/>
    <w:rsid w:val="00D946FD"/>
    <w:rsid w:val="00D9562C"/>
    <w:rsid w:val="00D9582F"/>
    <w:rsid w:val="00D95BB9"/>
    <w:rsid w:val="00D95FF3"/>
    <w:rsid w:val="00D96075"/>
    <w:rsid w:val="00D960A2"/>
    <w:rsid w:val="00D96661"/>
    <w:rsid w:val="00D96703"/>
    <w:rsid w:val="00D96816"/>
    <w:rsid w:val="00D96A78"/>
    <w:rsid w:val="00D973E1"/>
    <w:rsid w:val="00D9745B"/>
    <w:rsid w:val="00D97654"/>
    <w:rsid w:val="00D9790D"/>
    <w:rsid w:val="00D97CAB"/>
    <w:rsid w:val="00D97CF8"/>
    <w:rsid w:val="00D97D77"/>
    <w:rsid w:val="00DA0599"/>
    <w:rsid w:val="00DA067A"/>
    <w:rsid w:val="00DA075D"/>
    <w:rsid w:val="00DA0FEF"/>
    <w:rsid w:val="00DA194F"/>
    <w:rsid w:val="00DA1BC2"/>
    <w:rsid w:val="00DA1F01"/>
    <w:rsid w:val="00DA200E"/>
    <w:rsid w:val="00DA248D"/>
    <w:rsid w:val="00DA2513"/>
    <w:rsid w:val="00DA2787"/>
    <w:rsid w:val="00DA2A41"/>
    <w:rsid w:val="00DA2C5E"/>
    <w:rsid w:val="00DA2F44"/>
    <w:rsid w:val="00DA30BB"/>
    <w:rsid w:val="00DA3136"/>
    <w:rsid w:val="00DA333F"/>
    <w:rsid w:val="00DA433C"/>
    <w:rsid w:val="00DA470E"/>
    <w:rsid w:val="00DA4AF9"/>
    <w:rsid w:val="00DA4B22"/>
    <w:rsid w:val="00DA4B94"/>
    <w:rsid w:val="00DA4EB8"/>
    <w:rsid w:val="00DA507B"/>
    <w:rsid w:val="00DA5720"/>
    <w:rsid w:val="00DA57AE"/>
    <w:rsid w:val="00DA5827"/>
    <w:rsid w:val="00DA5E78"/>
    <w:rsid w:val="00DA601E"/>
    <w:rsid w:val="00DA61C4"/>
    <w:rsid w:val="00DA6A92"/>
    <w:rsid w:val="00DA72ED"/>
    <w:rsid w:val="00DA7C8C"/>
    <w:rsid w:val="00DA7F1D"/>
    <w:rsid w:val="00DB042B"/>
    <w:rsid w:val="00DB0912"/>
    <w:rsid w:val="00DB09ED"/>
    <w:rsid w:val="00DB0D0F"/>
    <w:rsid w:val="00DB0D59"/>
    <w:rsid w:val="00DB17E9"/>
    <w:rsid w:val="00DB1C53"/>
    <w:rsid w:val="00DB1E4C"/>
    <w:rsid w:val="00DB1F70"/>
    <w:rsid w:val="00DB267C"/>
    <w:rsid w:val="00DB29DB"/>
    <w:rsid w:val="00DB2A8C"/>
    <w:rsid w:val="00DB2FD7"/>
    <w:rsid w:val="00DB35B9"/>
    <w:rsid w:val="00DB4127"/>
    <w:rsid w:val="00DB421F"/>
    <w:rsid w:val="00DB44DB"/>
    <w:rsid w:val="00DB4BD2"/>
    <w:rsid w:val="00DB4E23"/>
    <w:rsid w:val="00DB52D9"/>
    <w:rsid w:val="00DB52EB"/>
    <w:rsid w:val="00DB52F1"/>
    <w:rsid w:val="00DB596C"/>
    <w:rsid w:val="00DB612D"/>
    <w:rsid w:val="00DB6390"/>
    <w:rsid w:val="00DB6484"/>
    <w:rsid w:val="00DB64F5"/>
    <w:rsid w:val="00DB68A5"/>
    <w:rsid w:val="00DB68C1"/>
    <w:rsid w:val="00DB70BC"/>
    <w:rsid w:val="00DB76AF"/>
    <w:rsid w:val="00DB76B1"/>
    <w:rsid w:val="00DC0225"/>
    <w:rsid w:val="00DC0922"/>
    <w:rsid w:val="00DC0FB4"/>
    <w:rsid w:val="00DC159A"/>
    <w:rsid w:val="00DC1704"/>
    <w:rsid w:val="00DC1EC6"/>
    <w:rsid w:val="00DC249F"/>
    <w:rsid w:val="00DC2556"/>
    <w:rsid w:val="00DC26F6"/>
    <w:rsid w:val="00DC285F"/>
    <w:rsid w:val="00DC2EAD"/>
    <w:rsid w:val="00DC31E9"/>
    <w:rsid w:val="00DC35A8"/>
    <w:rsid w:val="00DC36E6"/>
    <w:rsid w:val="00DC382D"/>
    <w:rsid w:val="00DC3BF0"/>
    <w:rsid w:val="00DC3D17"/>
    <w:rsid w:val="00DC3E71"/>
    <w:rsid w:val="00DC3EFE"/>
    <w:rsid w:val="00DC4B4E"/>
    <w:rsid w:val="00DC54D5"/>
    <w:rsid w:val="00DC5A54"/>
    <w:rsid w:val="00DC5C45"/>
    <w:rsid w:val="00DC6D01"/>
    <w:rsid w:val="00DC77A0"/>
    <w:rsid w:val="00DC79DD"/>
    <w:rsid w:val="00DD067C"/>
    <w:rsid w:val="00DD07FA"/>
    <w:rsid w:val="00DD0C16"/>
    <w:rsid w:val="00DD0F4E"/>
    <w:rsid w:val="00DD1489"/>
    <w:rsid w:val="00DD16F4"/>
    <w:rsid w:val="00DD22BC"/>
    <w:rsid w:val="00DD239C"/>
    <w:rsid w:val="00DD2632"/>
    <w:rsid w:val="00DD3386"/>
    <w:rsid w:val="00DD35F9"/>
    <w:rsid w:val="00DD3B5E"/>
    <w:rsid w:val="00DD3EDE"/>
    <w:rsid w:val="00DD3F02"/>
    <w:rsid w:val="00DD44BF"/>
    <w:rsid w:val="00DD482E"/>
    <w:rsid w:val="00DD48DA"/>
    <w:rsid w:val="00DD4A18"/>
    <w:rsid w:val="00DD4E7D"/>
    <w:rsid w:val="00DD55C4"/>
    <w:rsid w:val="00DD58B0"/>
    <w:rsid w:val="00DD5B1C"/>
    <w:rsid w:val="00DD5BE7"/>
    <w:rsid w:val="00DD64F0"/>
    <w:rsid w:val="00DD6868"/>
    <w:rsid w:val="00DD69E7"/>
    <w:rsid w:val="00DD72D0"/>
    <w:rsid w:val="00DD7C66"/>
    <w:rsid w:val="00DE0299"/>
    <w:rsid w:val="00DE031A"/>
    <w:rsid w:val="00DE068E"/>
    <w:rsid w:val="00DE0948"/>
    <w:rsid w:val="00DE0A48"/>
    <w:rsid w:val="00DE0F4E"/>
    <w:rsid w:val="00DE126A"/>
    <w:rsid w:val="00DE1594"/>
    <w:rsid w:val="00DE1728"/>
    <w:rsid w:val="00DE17FC"/>
    <w:rsid w:val="00DE186B"/>
    <w:rsid w:val="00DE189A"/>
    <w:rsid w:val="00DE1E48"/>
    <w:rsid w:val="00DE2866"/>
    <w:rsid w:val="00DE2956"/>
    <w:rsid w:val="00DE296E"/>
    <w:rsid w:val="00DE29EA"/>
    <w:rsid w:val="00DE2B15"/>
    <w:rsid w:val="00DE2D83"/>
    <w:rsid w:val="00DE2E6A"/>
    <w:rsid w:val="00DE374F"/>
    <w:rsid w:val="00DE3EC0"/>
    <w:rsid w:val="00DE465C"/>
    <w:rsid w:val="00DE4881"/>
    <w:rsid w:val="00DE5A11"/>
    <w:rsid w:val="00DE5B0F"/>
    <w:rsid w:val="00DE751A"/>
    <w:rsid w:val="00DE7783"/>
    <w:rsid w:val="00DF0E6A"/>
    <w:rsid w:val="00DF147E"/>
    <w:rsid w:val="00DF1AB4"/>
    <w:rsid w:val="00DF2315"/>
    <w:rsid w:val="00DF2317"/>
    <w:rsid w:val="00DF2371"/>
    <w:rsid w:val="00DF26DC"/>
    <w:rsid w:val="00DF294B"/>
    <w:rsid w:val="00DF2BB8"/>
    <w:rsid w:val="00DF327A"/>
    <w:rsid w:val="00DF36E3"/>
    <w:rsid w:val="00DF3AF4"/>
    <w:rsid w:val="00DF3DF1"/>
    <w:rsid w:val="00DF40AC"/>
    <w:rsid w:val="00DF4A98"/>
    <w:rsid w:val="00DF50A1"/>
    <w:rsid w:val="00DF57A8"/>
    <w:rsid w:val="00DF589B"/>
    <w:rsid w:val="00DF664E"/>
    <w:rsid w:val="00DF6B47"/>
    <w:rsid w:val="00DF6C69"/>
    <w:rsid w:val="00DF6C74"/>
    <w:rsid w:val="00DF7243"/>
    <w:rsid w:val="00DF7905"/>
    <w:rsid w:val="00DF79FC"/>
    <w:rsid w:val="00DF7ABA"/>
    <w:rsid w:val="00DF7D0B"/>
    <w:rsid w:val="00E00329"/>
    <w:rsid w:val="00E00694"/>
    <w:rsid w:val="00E0072E"/>
    <w:rsid w:val="00E00959"/>
    <w:rsid w:val="00E00A93"/>
    <w:rsid w:val="00E013DD"/>
    <w:rsid w:val="00E014BB"/>
    <w:rsid w:val="00E018C1"/>
    <w:rsid w:val="00E01A11"/>
    <w:rsid w:val="00E01A6F"/>
    <w:rsid w:val="00E01DFA"/>
    <w:rsid w:val="00E0206A"/>
    <w:rsid w:val="00E020DB"/>
    <w:rsid w:val="00E02353"/>
    <w:rsid w:val="00E02D2B"/>
    <w:rsid w:val="00E02FEF"/>
    <w:rsid w:val="00E0313F"/>
    <w:rsid w:val="00E03175"/>
    <w:rsid w:val="00E03521"/>
    <w:rsid w:val="00E03A2C"/>
    <w:rsid w:val="00E03A73"/>
    <w:rsid w:val="00E03F78"/>
    <w:rsid w:val="00E0467C"/>
    <w:rsid w:val="00E04793"/>
    <w:rsid w:val="00E04950"/>
    <w:rsid w:val="00E04C8A"/>
    <w:rsid w:val="00E04DCE"/>
    <w:rsid w:val="00E052D7"/>
    <w:rsid w:val="00E052FF"/>
    <w:rsid w:val="00E05BE5"/>
    <w:rsid w:val="00E060BC"/>
    <w:rsid w:val="00E062CF"/>
    <w:rsid w:val="00E063B1"/>
    <w:rsid w:val="00E06578"/>
    <w:rsid w:val="00E06B5E"/>
    <w:rsid w:val="00E06CEF"/>
    <w:rsid w:val="00E07124"/>
    <w:rsid w:val="00E0771D"/>
    <w:rsid w:val="00E07759"/>
    <w:rsid w:val="00E0779C"/>
    <w:rsid w:val="00E078EE"/>
    <w:rsid w:val="00E0793D"/>
    <w:rsid w:val="00E101DF"/>
    <w:rsid w:val="00E1038C"/>
    <w:rsid w:val="00E10408"/>
    <w:rsid w:val="00E108D8"/>
    <w:rsid w:val="00E1091F"/>
    <w:rsid w:val="00E10DDA"/>
    <w:rsid w:val="00E1105C"/>
    <w:rsid w:val="00E111BB"/>
    <w:rsid w:val="00E11D4A"/>
    <w:rsid w:val="00E12413"/>
    <w:rsid w:val="00E131EA"/>
    <w:rsid w:val="00E13444"/>
    <w:rsid w:val="00E134AE"/>
    <w:rsid w:val="00E136A1"/>
    <w:rsid w:val="00E13FB0"/>
    <w:rsid w:val="00E14219"/>
    <w:rsid w:val="00E1431F"/>
    <w:rsid w:val="00E14382"/>
    <w:rsid w:val="00E1438B"/>
    <w:rsid w:val="00E1449B"/>
    <w:rsid w:val="00E14505"/>
    <w:rsid w:val="00E14C84"/>
    <w:rsid w:val="00E1562B"/>
    <w:rsid w:val="00E15D73"/>
    <w:rsid w:val="00E16505"/>
    <w:rsid w:val="00E16557"/>
    <w:rsid w:val="00E16662"/>
    <w:rsid w:val="00E166EE"/>
    <w:rsid w:val="00E16C5D"/>
    <w:rsid w:val="00E16F0A"/>
    <w:rsid w:val="00E16F45"/>
    <w:rsid w:val="00E1752B"/>
    <w:rsid w:val="00E1775A"/>
    <w:rsid w:val="00E17B63"/>
    <w:rsid w:val="00E20069"/>
    <w:rsid w:val="00E2045D"/>
    <w:rsid w:val="00E20D2A"/>
    <w:rsid w:val="00E21324"/>
    <w:rsid w:val="00E2180D"/>
    <w:rsid w:val="00E219AB"/>
    <w:rsid w:val="00E21E5D"/>
    <w:rsid w:val="00E22026"/>
    <w:rsid w:val="00E2231E"/>
    <w:rsid w:val="00E223DA"/>
    <w:rsid w:val="00E22FA0"/>
    <w:rsid w:val="00E2315F"/>
    <w:rsid w:val="00E23E5A"/>
    <w:rsid w:val="00E24185"/>
    <w:rsid w:val="00E241FA"/>
    <w:rsid w:val="00E2498E"/>
    <w:rsid w:val="00E24CB9"/>
    <w:rsid w:val="00E24FFA"/>
    <w:rsid w:val="00E25BDC"/>
    <w:rsid w:val="00E26147"/>
    <w:rsid w:val="00E26207"/>
    <w:rsid w:val="00E2677C"/>
    <w:rsid w:val="00E26C87"/>
    <w:rsid w:val="00E26E70"/>
    <w:rsid w:val="00E2722C"/>
    <w:rsid w:val="00E27AA2"/>
    <w:rsid w:val="00E27B5A"/>
    <w:rsid w:val="00E27D22"/>
    <w:rsid w:val="00E27D82"/>
    <w:rsid w:val="00E300F7"/>
    <w:rsid w:val="00E301BA"/>
    <w:rsid w:val="00E309CC"/>
    <w:rsid w:val="00E30F71"/>
    <w:rsid w:val="00E31053"/>
    <w:rsid w:val="00E3197E"/>
    <w:rsid w:val="00E32205"/>
    <w:rsid w:val="00E32430"/>
    <w:rsid w:val="00E32724"/>
    <w:rsid w:val="00E3339E"/>
    <w:rsid w:val="00E33962"/>
    <w:rsid w:val="00E33DE2"/>
    <w:rsid w:val="00E3480D"/>
    <w:rsid w:val="00E34A50"/>
    <w:rsid w:val="00E34B2D"/>
    <w:rsid w:val="00E34C0A"/>
    <w:rsid w:val="00E34D4E"/>
    <w:rsid w:val="00E34EA9"/>
    <w:rsid w:val="00E34F5B"/>
    <w:rsid w:val="00E35387"/>
    <w:rsid w:val="00E356F7"/>
    <w:rsid w:val="00E35BCE"/>
    <w:rsid w:val="00E35D88"/>
    <w:rsid w:val="00E35DF4"/>
    <w:rsid w:val="00E366D1"/>
    <w:rsid w:val="00E3675B"/>
    <w:rsid w:val="00E367DF"/>
    <w:rsid w:val="00E3776B"/>
    <w:rsid w:val="00E37ABC"/>
    <w:rsid w:val="00E37ACA"/>
    <w:rsid w:val="00E401CC"/>
    <w:rsid w:val="00E40B67"/>
    <w:rsid w:val="00E4113E"/>
    <w:rsid w:val="00E41157"/>
    <w:rsid w:val="00E4120E"/>
    <w:rsid w:val="00E41554"/>
    <w:rsid w:val="00E4157E"/>
    <w:rsid w:val="00E41AEB"/>
    <w:rsid w:val="00E41BD6"/>
    <w:rsid w:val="00E41BFF"/>
    <w:rsid w:val="00E41CE5"/>
    <w:rsid w:val="00E41E44"/>
    <w:rsid w:val="00E41F11"/>
    <w:rsid w:val="00E42670"/>
    <w:rsid w:val="00E42B3A"/>
    <w:rsid w:val="00E43164"/>
    <w:rsid w:val="00E43638"/>
    <w:rsid w:val="00E43662"/>
    <w:rsid w:val="00E439CA"/>
    <w:rsid w:val="00E43E42"/>
    <w:rsid w:val="00E450AE"/>
    <w:rsid w:val="00E4522B"/>
    <w:rsid w:val="00E45903"/>
    <w:rsid w:val="00E45A61"/>
    <w:rsid w:val="00E45B3B"/>
    <w:rsid w:val="00E45E9C"/>
    <w:rsid w:val="00E46116"/>
    <w:rsid w:val="00E469C6"/>
    <w:rsid w:val="00E46F1A"/>
    <w:rsid w:val="00E47056"/>
    <w:rsid w:val="00E470DA"/>
    <w:rsid w:val="00E478C3"/>
    <w:rsid w:val="00E47B87"/>
    <w:rsid w:val="00E50408"/>
    <w:rsid w:val="00E50816"/>
    <w:rsid w:val="00E508F3"/>
    <w:rsid w:val="00E50B08"/>
    <w:rsid w:val="00E50D27"/>
    <w:rsid w:val="00E52524"/>
    <w:rsid w:val="00E5277E"/>
    <w:rsid w:val="00E529EA"/>
    <w:rsid w:val="00E5362D"/>
    <w:rsid w:val="00E5383E"/>
    <w:rsid w:val="00E539C6"/>
    <w:rsid w:val="00E54785"/>
    <w:rsid w:val="00E556F3"/>
    <w:rsid w:val="00E5586F"/>
    <w:rsid w:val="00E55AB7"/>
    <w:rsid w:val="00E55F42"/>
    <w:rsid w:val="00E55F96"/>
    <w:rsid w:val="00E5618E"/>
    <w:rsid w:val="00E561CB"/>
    <w:rsid w:val="00E56952"/>
    <w:rsid w:val="00E569EC"/>
    <w:rsid w:val="00E56B73"/>
    <w:rsid w:val="00E5708E"/>
    <w:rsid w:val="00E57288"/>
    <w:rsid w:val="00E5748C"/>
    <w:rsid w:val="00E57871"/>
    <w:rsid w:val="00E57B7F"/>
    <w:rsid w:val="00E57CBA"/>
    <w:rsid w:val="00E60BE9"/>
    <w:rsid w:val="00E60C27"/>
    <w:rsid w:val="00E60D4A"/>
    <w:rsid w:val="00E60DC5"/>
    <w:rsid w:val="00E6107E"/>
    <w:rsid w:val="00E61221"/>
    <w:rsid w:val="00E6130D"/>
    <w:rsid w:val="00E6188E"/>
    <w:rsid w:val="00E61C7A"/>
    <w:rsid w:val="00E621BA"/>
    <w:rsid w:val="00E6277A"/>
    <w:rsid w:val="00E62C57"/>
    <w:rsid w:val="00E634C6"/>
    <w:rsid w:val="00E6367A"/>
    <w:rsid w:val="00E636B6"/>
    <w:rsid w:val="00E63BAC"/>
    <w:rsid w:val="00E63ECA"/>
    <w:rsid w:val="00E63FA1"/>
    <w:rsid w:val="00E63FDD"/>
    <w:rsid w:val="00E6437F"/>
    <w:rsid w:val="00E6448B"/>
    <w:rsid w:val="00E64630"/>
    <w:rsid w:val="00E64686"/>
    <w:rsid w:val="00E6484F"/>
    <w:rsid w:val="00E65A9F"/>
    <w:rsid w:val="00E65BD5"/>
    <w:rsid w:val="00E66199"/>
    <w:rsid w:val="00E6643E"/>
    <w:rsid w:val="00E669FF"/>
    <w:rsid w:val="00E66AA5"/>
    <w:rsid w:val="00E66D64"/>
    <w:rsid w:val="00E671F3"/>
    <w:rsid w:val="00E672AC"/>
    <w:rsid w:val="00E67DE6"/>
    <w:rsid w:val="00E67E7D"/>
    <w:rsid w:val="00E67EAB"/>
    <w:rsid w:val="00E67FAC"/>
    <w:rsid w:val="00E700F2"/>
    <w:rsid w:val="00E70246"/>
    <w:rsid w:val="00E70B05"/>
    <w:rsid w:val="00E70EC2"/>
    <w:rsid w:val="00E712B2"/>
    <w:rsid w:val="00E71875"/>
    <w:rsid w:val="00E7195E"/>
    <w:rsid w:val="00E719BC"/>
    <w:rsid w:val="00E7257D"/>
    <w:rsid w:val="00E72811"/>
    <w:rsid w:val="00E72AED"/>
    <w:rsid w:val="00E72AEE"/>
    <w:rsid w:val="00E72B7C"/>
    <w:rsid w:val="00E72BD2"/>
    <w:rsid w:val="00E72E79"/>
    <w:rsid w:val="00E731D8"/>
    <w:rsid w:val="00E7339E"/>
    <w:rsid w:val="00E73B8A"/>
    <w:rsid w:val="00E74004"/>
    <w:rsid w:val="00E740F2"/>
    <w:rsid w:val="00E741F9"/>
    <w:rsid w:val="00E74D80"/>
    <w:rsid w:val="00E74DF8"/>
    <w:rsid w:val="00E74E30"/>
    <w:rsid w:val="00E7525C"/>
    <w:rsid w:val="00E75610"/>
    <w:rsid w:val="00E75EC9"/>
    <w:rsid w:val="00E76612"/>
    <w:rsid w:val="00E7673B"/>
    <w:rsid w:val="00E767C5"/>
    <w:rsid w:val="00E76D75"/>
    <w:rsid w:val="00E76ED7"/>
    <w:rsid w:val="00E76FE1"/>
    <w:rsid w:val="00E77045"/>
    <w:rsid w:val="00E7708F"/>
    <w:rsid w:val="00E77655"/>
    <w:rsid w:val="00E77C4F"/>
    <w:rsid w:val="00E77CED"/>
    <w:rsid w:val="00E77F0E"/>
    <w:rsid w:val="00E818A7"/>
    <w:rsid w:val="00E81A1C"/>
    <w:rsid w:val="00E81A35"/>
    <w:rsid w:val="00E81C38"/>
    <w:rsid w:val="00E82046"/>
    <w:rsid w:val="00E8239B"/>
    <w:rsid w:val="00E82968"/>
    <w:rsid w:val="00E829E8"/>
    <w:rsid w:val="00E82A3C"/>
    <w:rsid w:val="00E82AB2"/>
    <w:rsid w:val="00E83571"/>
    <w:rsid w:val="00E8372D"/>
    <w:rsid w:val="00E83999"/>
    <w:rsid w:val="00E839F3"/>
    <w:rsid w:val="00E83CC7"/>
    <w:rsid w:val="00E83DCB"/>
    <w:rsid w:val="00E84051"/>
    <w:rsid w:val="00E84478"/>
    <w:rsid w:val="00E84A0C"/>
    <w:rsid w:val="00E84A3E"/>
    <w:rsid w:val="00E85294"/>
    <w:rsid w:val="00E85406"/>
    <w:rsid w:val="00E85AA6"/>
    <w:rsid w:val="00E85D5E"/>
    <w:rsid w:val="00E8609B"/>
    <w:rsid w:val="00E8611F"/>
    <w:rsid w:val="00E862B4"/>
    <w:rsid w:val="00E863FC"/>
    <w:rsid w:val="00E86755"/>
    <w:rsid w:val="00E86819"/>
    <w:rsid w:val="00E86D60"/>
    <w:rsid w:val="00E86F62"/>
    <w:rsid w:val="00E87160"/>
    <w:rsid w:val="00E8746F"/>
    <w:rsid w:val="00E877D5"/>
    <w:rsid w:val="00E8792A"/>
    <w:rsid w:val="00E87D98"/>
    <w:rsid w:val="00E901DE"/>
    <w:rsid w:val="00E90A53"/>
    <w:rsid w:val="00E91143"/>
    <w:rsid w:val="00E913DD"/>
    <w:rsid w:val="00E918CF"/>
    <w:rsid w:val="00E918F0"/>
    <w:rsid w:val="00E91A9B"/>
    <w:rsid w:val="00E91EF4"/>
    <w:rsid w:val="00E9218C"/>
    <w:rsid w:val="00E92698"/>
    <w:rsid w:val="00E928EC"/>
    <w:rsid w:val="00E92BED"/>
    <w:rsid w:val="00E9338C"/>
    <w:rsid w:val="00E9374C"/>
    <w:rsid w:val="00E9395C"/>
    <w:rsid w:val="00E93B61"/>
    <w:rsid w:val="00E93BC7"/>
    <w:rsid w:val="00E95012"/>
    <w:rsid w:val="00E95AF9"/>
    <w:rsid w:val="00E95C42"/>
    <w:rsid w:val="00E966F1"/>
    <w:rsid w:val="00E969D4"/>
    <w:rsid w:val="00E9760A"/>
    <w:rsid w:val="00E979B0"/>
    <w:rsid w:val="00E97CA0"/>
    <w:rsid w:val="00E97E1D"/>
    <w:rsid w:val="00EA14A1"/>
    <w:rsid w:val="00EA219A"/>
    <w:rsid w:val="00EA25D2"/>
    <w:rsid w:val="00EA2B3F"/>
    <w:rsid w:val="00EA306D"/>
    <w:rsid w:val="00EA3647"/>
    <w:rsid w:val="00EA36BF"/>
    <w:rsid w:val="00EA3740"/>
    <w:rsid w:val="00EA3D3A"/>
    <w:rsid w:val="00EA4236"/>
    <w:rsid w:val="00EA4977"/>
    <w:rsid w:val="00EA5245"/>
    <w:rsid w:val="00EA552E"/>
    <w:rsid w:val="00EA5804"/>
    <w:rsid w:val="00EA5937"/>
    <w:rsid w:val="00EA5C1D"/>
    <w:rsid w:val="00EA5DB2"/>
    <w:rsid w:val="00EA5DE3"/>
    <w:rsid w:val="00EA5F46"/>
    <w:rsid w:val="00EA616D"/>
    <w:rsid w:val="00EA676E"/>
    <w:rsid w:val="00EA697B"/>
    <w:rsid w:val="00EA6F01"/>
    <w:rsid w:val="00EA70DF"/>
    <w:rsid w:val="00EA7607"/>
    <w:rsid w:val="00EA778B"/>
    <w:rsid w:val="00EA7973"/>
    <w:rsid w:val="00EA7DD6"/>
    <w:rsid w:val="00EB019E"/>
    <w:rsid w:val="00EB02BA"/>
    <w:rsid w:val="00EB0B60"/>
    <w:rsid w:val="00EB0DE4"/>
    <w:rsid w:val="00EB0F18"/>
    <w:rsid w:val="00EB1710"/>
    <w:rsid w:val="00EB1C20"/>
    <w:rsid w:val="00EB2053"/>
    <w:rsid w:val="00EB21AC"/>
    <w:rsid w:val="00EB23CA"/>
    <w:rsid w:val="00EB24C8"/>
    <w:rsid w:val="00EB25C4"/>
    <w:rsid w:val="00EB2632"/>
    <w:rsid w:val="00EB27BA"/>
    <w:rsid w:val="00EB2953"/>
    <w:rsid w:val="00EB2AD3"/>
    <w:rsid w:val="00EB2D2C"/>
    <w:rsid w:val="00EB3204"/>
    <w:rsid w:val="00EB370D"/>
    <w:rsid w:val="00EB3731"/>
    <w:rsid w:val="00EB3799"/>
    <w:rsid w:val="00EB39BD"/>
    <w:rsid w:val="00EB3A23"/>
    <w:rsid w:val="00EB3A33"/>
    <w:rsid w:val="00EB3D34"/>
    <w:rsid w:val="00EB4081"/>
    <w:rsid w:val="00EB41F5"/>
    <w:rsid w:val="00EB4587"/>
    <w:rsid w:val="00EB4DFB"/>
    <w:rsid w:val="00EB51C9"/>
    <w:rsid w:val="00EB53EF"/>
    <w:rsid w:val="00EB552A"/>
    <w:rsid w:val="00EB56DC"/>
    <w:rsid w:val="00EB5CE1"/>
    <w:rsid w:val="00EB5FED"/>
    <w:rsid w:val="00EB60D9"/>
    <w:rsid w:val="00EB6F21"/>
    <w:rsid w:val="00EB7189"/>
    <w:rsid w:val="00EB75AD"/>
    <w:rsid w:val="00EB779D"/>
    <w:rsid w:val="00EC0293"/>
    <w:rsid w:val="00EC02D7"/>
    <w:rsid w:val="00EC039E"/>
    <w:rsid w:val="00EC04B6"/>
    <w:rsid w:val="00EC0611"/>
    <w:rsid w:val="00EC0A10"/>
    <w:rsid w:val="00EC190F"/>
    <w:rsid w:val="00EC1E78"/>
    <w:rsid w:val="00EC2A68"/>
    <w:rsid w:val="00EC33D8"/>
    <w:rsid w:val="00EC3896"/>
    <w:rsid w:val="00EC40EF"/>
    <w:rsid w:val="00EC4882"/>
    <w:rsid w:val="00EC4CC1"/>
    <w:rsid w:val="00EC5305"/>
    <w:rsid w:val="00EC57AA"/>
    <w:rsid w:val="00EC592D"/>
    <w:rsid w:val="00EC5C4B"/>
    <w:rsid w:val="00EC5EB9"/>
    <w:rsid w:val="00EC67D0"/>
    <w:rsid w:val="00EC6CDD"/>
    <w:rsid w:val="00EC7809"/>
    <w:rsid w:val="00EC7818"/>
    <w:rsid w:val="00EC783D"/>
    <w:rsid w:val="00EC7BB0"/>
    <w:rsid w:val="00EC7D88"/>
    <w:rsid w:val="00ED00C8"/>
    <w:rsid w:val="00ED0127"/>
    <w:rsid w:val="00ED0225"/>
    <w:rsid w:val="00ED084D"/>
    <w:rsid w:val="00ED099D"/>
    <w:rsid w:val="00ED1C66"/>
    <w:rsid w:val="00ED2040"/>
    <w:rsid w:val="00ED2504"/>
    <w:rsid w:val="00ED28F9"/>
    <w:rsid w:val="00ED2D79"/>
    <w:rsid w:val="00ED308A"/>
    <w:rsid w:val="00ED30D7"/>
    <w:rsid w:val="00ED3A4F"/>
    <w:rsid w:val="00ED3CA3"/>
    <w:rsid w:val="00ED4DD7"/>
    <w:rsid w:val="00ED5ACB"/>
    <w:rsid w:val="00ED66B3"/>
    <w:rsid w:val="00ED6BC8"/>
    <w:rsid w:val="00ED6FA3"/>
    <w:rsid w:val="00ED7B7A"/>
    <w:rsid w:val="00ED7CF7"/>
    <w:rsid w:val="00EE078E"/>
    <w:rsid w:val="00EE0855"/>
    <w:rsid w:val="00EE11A1"/>
    <w:rsid w:val="00EE12AF"/>
    <w:rsid w:val="00EE1769"/>
    <w:rsid w:val="00EE1902"/>
    <w:rsid w:val="00EE1B91"/>
    <w:rsid w:val="00EE2097"/>
    <w:rsid w:val="00EE27C9"/>
    <w:rsid w:val="00EE2867"/>
    <w:rsid w:val="00EE2A17"/>
    <w:rsid w:val="00EE2C79"/>
    <w:rsid w:val="00EE2CF8"/>
    <w:rsid w:val="00EE2EDD"/>
    <w:rsid w:val="00EE32AB"/>
    <w:rsid w:val="00EE3722"/>
    <w:rsid w:val="00EE392F"/>
    <w:rsid w:val="00EE3ED6"/>
    <w:rsid w:val="00EE458B"/>
    <w:rsid w:val="00EE58CC"/>
    <w:rsid w:val="00EE5C62"/>
    <w:rsid w:val="00EE681B"/>
    <w:rsid w:val="00EE69E6"/>
    <w:rsid w:val="00EE75D6"/>
    <w:rsid w:val="00EE78B9"/>
    <w:rsid w:val="00EE7BC8"/>
    <w:rsid w:val="00EF000D"/>
    <w:rsid w:val="00EF0965"/>
    <w:rsid w:val="00EF0AD3"/>
    <w:rsid w:val="00EF0B6E"/>
    <w:rsid w:val="00EF0BAE"/>
    <w:rsid w:val="00EF1384"/>
    <w:rsid w:val="00EF13E0"/>
    <w:rsid w:val="00EF1A3E"/>
    <w:rsid w:val="00EF1C25"/>
    <w:rsid w:val="00EF1FE8"/>
    <w:rsid w:val="00EF213D"/>
    <w:rsid w:val="00EF2DA8"/>
    <w:rsid w:val="00EF2DEE"/>
    <w:rsid w:val="00EF32CC"/>
    <w:rsid w:val="00EF3D2C"/>
    <w:rsid w:val="00EF406E"/>
    <w:rsid w:val="00EF45C9"/>
    <w:rsid w:val="00EF4AF2"/>
    <w:rsid w:val="00EF4CF9"/>
    <w:rsid w:val="00EF4DED"/>
    <w:rsid w:val="00EF55DF"/>
    <w:rsid w:val="00EF59D3"/>
    <w:rsid w:val="00EF5AB0"/>
    <w:rsid w:val="00EF5CE8"/>
    <w:rsid w:val="00EF61AC"/>
    <w:rsid w:val="00EF6389"/>
    <w:rsid w:val="00EF64F9"/>
    <w:rsid w:val="00EF686E"/>
    <w:rsid w:val="00EF6DE5"/>
    <w:rsid w:val="00EF70BA"/>
    <w:rsid w:val="00EF7D69"/>
    <w:rsid w:val="00F001B2"/>
    <w:rsid w:val="00F0047C"/>
    <w:rsid w:val="00F00D79"/>
    <w:rsid w:val="00F01097"/>
    <w:rsid w:val="00F02443"/>
    <w:rsid w:val="00F024C3"/>
    <w:rsid w:val="00F0287B"/>
    <w:rsid w:val="00F02CCA"/>
    <w:rsid w:val="00F02EE1"/>
    <w:rsid w:val="00F0343F"/>
    <w:rsid w:val="00F03848"/>
    <w:rsid w:val="00F038AB"/>
    <w:rsid w:val="00F038AC"/>
    <w:rsid w:val="00F03EDA"/>
    <w:rsid w:val="00F04426"/>
    <w:rsid w:val="00F04A53"/>
    <w:rsid w:val="00F04BA3"/>
    <w:rsid w:val="00F04EB8"/>
    <w:rsid w:val="00F05539"/>
    <w:rsid w:val="00F057F0"/>
    <w:rsid w:val="00F05EDD"/>
    <w:rsid w:val="00F064AF"/>
    <w:rsid w:val="00F06DA8"/>
    <w:rsid w:val="00F07517"/>
    <w:rsid w:val="00F07AAD"/>
    <w:rsid w:val="00F07BAB"/>
    <w:rsid w:val="00F101D3"/>
    <w:rsid w:val="00F10A0E"/>
    <w:rsid w:val="00F10D04"/>
    <w:rsid w:val="00F10EA7"/>
    <w:rsid w:val="00F10F50"/>
    <w:rsid w:val="00F116B8"/>
    <w:rsid w:val="00F11B05"/>
    <w:rsid w:val="00F11BB8"/>
    <w:rsid w:val="00F11CB8"/>
    <w:rsid w:val="00F11E3E"/>
    <w:rsid w:val="00F11E9B"/>
    <w:rsid w:val="00F1320B"/>
    <w:rsid w:val="00F13C15"/>
    <w:rsid w:val="00F13F40"/>
    <w:rsid w:val="00F1477D"/>
    <w:rsid w:val="00F14D23"/>
    <w:rsid w:val="00F151BB"/>
    <w:rsid w:val="00F154E5"/>
    <w:rsid w:val="00F156BC"/>
    <w:rsid w:val="00F1597F"/>
    <w:rsid w:val="00F164BA"/>
    <w:rsid w:val="00F1660E"/>
    <w:rsid w:val="00F16A15"/>
    <w:rsid w:val="00F16B98"/>
    <w:rsid w:val="00F16D5C"/>
    <w:rsid w:val="00F16F15"/>
    <w:rsid w:val="00F16F3E"/>
    <w:rsid w:val="00F171AA"/>
    <w:rsid w:val="00F17832"/>
    <w:rsid w:val="00F178AF"/>
    <w:rsid w:val="00F179DE"/>
    <w:rsid w:val="00F17B67"/>
    <w:rsid w:val="00F20E3A"/>
    <w:rsid w:val="00F21805"/>
    <w:rsid w:val="00F21E99"/>
    <w:rsid w:val="00F228EF"/>
    <w:rsid w:val="00F22A8B"/>
    <w:rsid w:val="00F22AA3"/>
    <w:rsid w:val="00F2324F"/>
    <w:rsid w:val="00F235C1"/>
    <w:rsid w:val="00F23C8C"/>
    <w:rsid w:val="00F23E3C"/>
    <w:rsid w:val="00F2414F"/>
    <w:rsid w:val="00F24A01"/>
    <w:rsid w:val="00F24FCA"/>
    <w:rsid w:val="00F25755"/>
    <w:rsid w:val="00F258F0"/>
    <w:rsid w:val="00F26075"/>
    <w:rsid w:val="00F261FA"/>
    <w:rsid w:val="00F26ACE"/>
    <w:rsid w:val="00F271E0"/>
    <w:rsid w:val="00F27842"/>
    <w:rsid w:val="00F27CFA"/>
    <w:rsid w:val="00F27E22"/>
    <w:rsid w:val="00F27ED1"/>
    <w:rsid w:val="00F30ACE"/>
    <w:rsid w:val="00F30E84"/>
    <w:rsid w:val="00F31424"/>
    <w:rsid w:val="00F314AB"/>
    <w:rsid w:val="00F3152F"/>
    <w:rsid w:val="00F31A05"/>
    <w:rsid w:val="00F31E7A"/>
    <w:rsid w:val="00F32731"/>
    <w:rsid w:val="00F32C87"/>
    <w:rsid w:val="00F32D89"/>
    <w:rsid w:val="00F32F59"/>
    <w:rsid w:val="00F32F7A"/>
    <w:rsid w:val="00F33047"/>
    <w:rsid w:val="00F33324"/>
    <w:rsid w:val="00F335C6"/>
    <w:rsid w:val="00F338D5"/>
    <w:rsid w:val="00F33954"/>
    <w:rsid w:val="00F33C51"/>
    <w:rsid w:val="00F33ED7"/>
    <w:rsid w:val="00F349A2"/>
    <w:rsid w:val="00F34C5F"/>
    <w:rsid w:val="00F34D9D"/>
    <w:rsid w:val="00F35133"/>
    <w:rsid w:val="00F35B9C"/>
    <w:rsid w:val="00F35BE3"/>
    <w:rsid w:val="00F35DEE"/>
    <w:rsid w:val="00F3642F"/>
    <w:rsid w:val="00F366B5"/>
    <w:rsid w:val="00F36DCF"/>
    <w:rsid w:val="00F36FFE"/>
    <w:rsid w:val="00F377E5"/>
    <w:rsid w:val="00F37A42"/>
    <w:rsid w:val="00F37DD0"/>
    <w:rsid w:val="00F40B23"/>
    <w:rsid w:val="00F40E3A"/>
    <w:rsid w:val="00F411FC"/>
    <w:rsid w:val="00F415B2"/>
    <w:rsid w:val="00F42013"/>
    <w:rsid w:val="00F42161"/>
    <w:rsid w:val="00F42231"/>
    <w:rsid w:val="00F42334"/>
    <w:rsid w:val="00F4253E"/>
    <w:rsid w:val="00F42972"/>
    <w:rsid w:val="00F42C38"/>
    <w:rsid w:val="00F42CC5"/>
    <w:rsid w:val="00F42F18"/>
    <w:rsid w:val="00F44303"/>
    <w:rsid w:val="00F446DB"/>
    <w:rsid w:val="00F44EA1"/>
    <w:rsid w:val="00F45016"/>
    <w:rsid w:val="00F4541B"/>
    <w:rsid w:val="00F4566D"/>
    <w:rsid w:val="00F46171"/>
    <w:rsid w:val="00F46536"/>
    <w:rsid w:val="00F468DC"/>
    <w:rsid w:val="00F46922"/>
    <w:rsid w:val="00F46C61"/>
    <w:rsid w:val="00F46D7D"/>
    <w:rsid w:val="00F470DD"/>
    <w:rsid w:val="00F4784D"/>
    <w:rsid w:val="00F47855"/>
    <w:rsid w:val="00F47993"/>
    <w:rsid w:val="00F47C70"/>
    <w:rsid w:val="00F47C71"/>
    <w:rsid w:val="00F47CC9"/>
    <w:rsid w:val="00F501A8"/>
    <w:rsid w:val="00F50AFF"/>
    <w:rsid w:val="00F5117E"/>
    <w:rsid w:val="00F51AB4"/>
    <w:rsid w:val="00F52DCF"/>
    <w:rsid w:val="00F535EE"/>
    <w:rsid w:val="00F53864"/>
    <w:rsid w:val="00F53CFE"/>
    <w:rsid w:val="00F53DF9"/>
    <w:rsid w:val="00F54183"/>
    <w:rsid w:val="00F54198"/>
    <w:rsid w:val="00F54A87"/>
    <w:rsid w:val="00F54DED"/>
    <w:rsid w:val="00F55032"/>
    <w:rsid w:val="00F557B3"/>
    <w:rsid w:val="00F55C0B"/>
    <w:rsid w:val="00F55FE5"/>
    <w:rsid w:val="00F56335"/>
    <w:rsid w:val="00F56A0A"/>
    <w:rsid w:val="00F5737F"/>
    <w:rsid w:val="00F5755A"/>
    <w:rsid w:val="00F5774F"/>
    <w:rsid w:val="00F57938"/>
    <w:rsid w:val="00F57C64"/>
    <w:rsid w:val="00F604F3"/>
    <w:rsid w:val="00F60619"/>
    <w:rsid w:val="00F60679"/>
    <w:rsid w:val="00F606A3"/>
    <w:rsid w:val="00F6085E"/>
    <w:rsid w:val="00F60F7A"/>
    <w:rsid w:val="00F61094"/>
    <w:rsid w:val="00F61102"/>
    <w:rsid w:val="00F61205"/>
    <w:rsid w:val="00F6177B"/>
    <w:rsid w:val="00F61920"/>
    <w:rsid w:val="00F619E5"/>
    <w:rsid w:val="00F61C88"/>
    <w:rsid w:val="00F61D70"/>
    <w:rsid w:val="00F61E35"/>
    <w:rsid w:val="00F626A9"/>
    <w:rsid w:val="00F62AE0"/>
    <w:rsid w:val="00F62B6F"/>
    <w:rsid w:val="00F62FD6"/>
    <w:rsid w:val="00F632FD"/>
    <w:rsid w:val="00F63902"/>
    <w:rsid w:val="00F63B8C"/>
    <w:rsid w:val="00F6403D"/>
    <w:rsid w:val="00F64385"/>
    <w:rsid w:val="00F64692"/>
    <w:rsid w:val="00F64ECD"/>
    <w:rsid w:val="00F6561A"/>
    <w:rsid w:val="00F65722"/>
    <w:rsid w:val="00F65983"/>
    <w:rsid w:val="00F65DF0"/>
    <w:rsid w:val="00F661FA"/>
    <w:rsid w:val="00F66248"/>
    <w:rsid w:val="00F66379"/>
    <w:rsid w:val="00F66ED6"/>
    <w:rsid w:val="00F6738D"/>
    <w:rsid w:val="00F673AB"/>
    <w:rsid w:val="00F6779A"/>
    <w:rsid w:val="00F67CBE"/>
    <w:rsid w:val="00F702E8"/>
    <w:rsid w:val="00F70ABA"/>
    <w:rsid w:val="00F70B17"/>
    <w:rsid w:val="00F70D7B"/>
    <w:rsid w:val="00F7119B"/>
    <w:rsid w:val="00F71CA2"/>
    <w:rsid w:val="00F71F45"/>
    <w:rsid w:val="00F72124"/>
    <w:rsid w:val="00F7233B"/>
    <w:rsid w:val="00F72456"/>
    <w:rsid w:val="00F72701"/>
    <w:rsid w:val="00F72707"/>
    <w:rsid w:val="00F728B1"/>
    <w:rsid w:val="00F728DC"/>
    <w:rsid w:val="00F72960"/>
    <w:rsid w:val="00F72961"/>
    <w:rsid w:val="00F72BF7"/>
    <w:rsid w:val="00F72C07"/>
    <w:rsid w:val="00F72DB6"/>
    <w:rsid w:val="00F72F86"/>
    <w:rsid w:val="00F737B2"/>
    <w:rsid w:val="00F73F60"/>
    <w:rsid w:val="00F73FD8"/>
    <w:rsid w:val="00F740DE"/>
    <w:rsid w:val="00F74404"/>
    <w:rsid w:val="00F75261"/>
    <w:rsid w:val="00F758BD"/>
    <w:rsid w:val="00F7591D"/>
    <w:rsid w:val="00F76034"/>
    <w:rsid w:val="00F76846"/>
    <w:rsid w:val="00F7689D"/>
    <w:rsid w:val="00F768F3"/>
    <w:rsid w:val="00F76A44"/>
    <w:rsid w:val="00F76AA7"/>
    <w:rsid w:val="00F7750A"/>
    <w:rsid w:val="00F77BB1"/>
    <w:rsid w:val="00F80113"/>
    <w:rsid w:val="00F80CA3"/>
    <w:rsid w:val="00F80F6C"/>
    <w:rsid w:val="00F80F78"/>
    <w:rsid w:val="00F81B62"/>
    <w:rsid w:val="00F8200A"/>
    <w:rsid w:val="00F825DC"/>
    <w:rsid w:val="00F8261E"/>
    <w:rsid w:val="00F82929"/>
    <w:rsid w:val="00F82FA8"/>
    <w:rsid w:val="00F82FDA"/>
    <w:rsid w:val="00F8304F"/>
    <w:rsid w:val="00F8378D"/>
    <w:rsid w:val="00F83D6E"/>
    <w:rsid w:val="00F83E0C"/>
    <w:rsid w:val="00F844B6"/>
    <w:rsid w:val="00F846CB"/>
    <w:rsid w:val="00F84937"/>
    <w:rsid w:val="00F84A32"/>
    <w:rsid w:val="00F853A6"/>
    <w:rsid w:val="00F854A6"/>
    <w:rsid w:val="00F85607"/>
    <w:rsid w:val="00F85D69"/>
    <w:rsid w:val="00F85D93"/>
    <w:rsid w:val="00F85F66"/>
    <w:rsid w:val="00F86288"/>
    <w:rsid w:val="00F862ED"/>
    <w:rsid w:val="00F86302"/>
    <w:rsid w:val="00F86596"/>
    <w:rsid w:val="00F869EB"/>
    <w:rsid w:val="00F86FEA"/>
    <w:rsid w:val="00F87BB4"/>
    <w:rsid w:val="00F87FDA"/>
    <w:rsid w:val="00F90408"/>
    <w:rsid w:val="00F904FB"/>
    <w:rsid w:val="00F90A6D"/>
    <w:rsid w:val="00F90D70"/>
    <w:rsid w:val="00F9104F"/>
    <w:rsid w:val="00F9117F"/>
    <w:rsid w:val="00F9121E"/>
    <w:rsid w:val="00F912C8"/>
    <w:rsid w:val="00F913A1"/>
    <w:rsid w:val="00F9163D"/>
    <w:rsid w:val="00F919D5"/>
    <w:rsid w:val="00F91B72"/>
    <w:rsid w:val="00F9248C"/>
    <w:rsid w:val="00F92C56"/>
    <w:rsid w:val="00F93D50"/>
    <w:rsid w:val="00F93F74"/>
    <w:rsid w:val="00F945FC"/>
    <w:rsid w:val="00F94608"/>
    <w:rsid w:val="00F94892"/>
    <w:rsid w:val="00F94C12"/>
    <w:rsid w:val="00F95366"/>
    <w:rsid w:val="00F95677"/>
    <w:rsid w:val="00F95832"/>
    <w:rsid w:val="00F958C3"/>
    <w:rsid w:val="00F95D4E"/>
    <w:rsid w:val="00F95D91"/>
    <w:rsid w:val="00F96413"/>
    <w:rsid w:val="00F9690E"/>
    <w:rsid w:val="00F97077"/>
    <w:rsid w:val="00F97A7C"/>
    <w:rsid w:val="00F97DEB"/>
    <w:rsid w:val="00FA0405"/>
    <w:rsid w:val="00FA0503"/>
    <w:rsid w:val="00FA05D6"/>
    <w:rsid w:val="00FA0807"/>
    <w:rsid w:val="00FA0C76"/>
    <w:rsid w:val="00FA0CBD"/>
    <w:rsid w:val="00FA0E16"/>
    <w:rsid w:val="00FA1562"/>
    <w:rsid w:val="00FA18F8"/>
    <w:rsid w:val="00FA1994"/>
    <w:rsid w:val="00FA1A51"/>
    <w:rsid w:val="00FA1CBB"/>
    <w:rsid w:val="00FA2219"/>
    <w:rsid w:val="00FA29C7"/>
    <w:rsid w:val="00FA3AA7"/>
    <w:rsid w:val="00FA4090"/>
    <w:rsid w:val="00FA44C2"/>
    <w:rsid w:val="00FA4699"/>
    <w:rsid w:val="00FA48E6"/>
    <w:rsid w:val="00FA4D44"/>
    <w:rsid w:val="00FA5115"/>
    <w:rsid w:val="00FA5E67"/>
    <w:rsid w:val="00FA6111"/>
    <w:rsid w:val="00FA6A6C"/>
    <w:rsid w:val="00FA7024"/>
    <w:rsid w:val="00FA7242"/>
    <w:rsid w:val="00FA749D"/>
    <w:rsid w:val="00FA7B12"/>
    <w:rsid w:val="00FA7BB7"/>
    <w:rsid w:val="00FA7C01"/>
    <w:rsid w:val="00FB045E"/>
    <w:rsid w:val="00FB05D4"/>
    <w:rsid w:val="00FB0783"/>
    <w:rsid w:val="00FB0B5E"/>
    <w:rsid w:val="00FB0C55"/>
    <w:rsid w:val="00FB0C9E"/>
    <w:rsid w:val="00FB0D76"/>
    <w:rsid w:val="00FB12F5"/>
    <w:rsid w:val="00FB15E1"/>
    <w:rsid w:val="00FB1C56"/>
    <w:rsid w:val="00FB1EC1"/>
    <w:rsid w:val="00FB21BB"/>
    <w:rsid w:val="00FB225E"/>
    <w:rsid w:val="00FB229C"/>
    <w:rsid w:val="00FB23AD"/>
    <w:rsid w:val="00FB25EF"/>
    <w:rsid w:val="00FB2B81"/>
    <w:rsid w:val="00FB328D"/>
    <w:rsid w:val="00FB3438"/>
    <w:rsid w:val="00FB3678"/>
    <w:rsid w:val="00FB3763"/>
    <w:rsid w:val="00FB4440"/>
    <w:rsid w:val="00FB49A0"/>
    <w:rsid w:val="00FB4AEC"/>
    <w:rsid w:val="00FB4B2C"/>
    <w:rsid w:val="00FB5136"/>
    <w:rsid w:val="00FB5176"/>
    <w:rsid w:val="00FB585C"/>
    <w:rsid w:val="00FB6177"/>
    <w:rsid w:val="00FB6779"/>
    <w:rsid w:val="00FB6971"/>
    <w:rsid w:val="00FB6BB0"/>
    <w:rsid w:val="00FB6DC5"/>
    <w:rsid w:val="00FB74C8"/>
    <w:rsid w:val="00FB75C5"/>
    <w:rsid w:val="00FB7C81"/>
    <w:rsid w:val="00FC0335"/>
    <w:rsid w:val="00FC03BB"/>
    <w:rsid w:val="00FC0696"/>
    <w:rsid w:val="00FC0FF4"/>
    <w:rsid w:val="00FC14C8"/>
    <w:rsid w:val="00FC185F"/>
    <w:rsid w:val="00FC186A"/>
    <w:rsid w:val="00FC189B"/>
    <w:rsid w:val="00FC1964"/>
    <w:rsid w:val="00FC1BE5"/>
    <w:rsid w:val="00FC20DD"/>
    <w:rsid w:val="00FC24F7"/>
    <w:rsid w:val="00FC276E"/>
    <w:rsid w:val="00FC2C18"/>
    <w:rsid w:val="00FC2E62"/>
    <w:rsid w:val="00FC3368"/>
    <w:rsid w:val="00FC3BF3"/>
    <w:rsid w:val="00FC404E"/>
    <w:rsid w:val="00FC414B"/>
    <w:rsid w:val="00FC4870"/>
    <w:rsid w:val="00FC4914"/>
    <w:rsid w:val="00FC4C12"/>
    <w:rsid w:val="00FC4EFD"/>
    <w:rsid w:val="00FC5119"/>
    <w:rsid w:val="00FC5421"/>
    <w:rsid w:val="00FC5F27"/>
    <w:rsid w:val="00FC67C0"/>
    <w:rsid w:val="00FC73E9"/>
    <w:rsid w:val="00FC76E0"/>
    <w:rsid w:val="00FC777A"/>
    <w:rsid w:val="00FC782C"/>
    <w:rsid w:val="00FC7F7B"/>
    <w:rsid w:val="00FD0532"/>
    <w:rsid w:val="00FD063A"/>
    <w:rsid w:val="00FD07FF"/>
    <w:rsid w:val="00FD0830"/>
    <w:rsid w:val="00FD08E9"/>
    <w:rsid w:val="00FD105C"/>
    <w:rsid w:val="00FD1636"/>
    <w:rsid w:val="00FD1650"/>
    <w:rsid w:val="00FD1CD1"/>
    <w:rsid w:val="00FD1F50"/>
    <w:rsid w:val="00FD2AB3"/>
    <w:rsid w:val="00FD2D27"/>
    <w:rsid w:val="00FD31E3"/>
    <w:rsid w:val="00FD3641"/>
    <w:rsid w:val="00FD3985"/>
    <w:rsid w:val="00FD39B5"/>
    <w:rsid w:val="00FD3AB1"/>
    <w:rsid w:val="00FD3D07"/>
    <w:rsid w:val="00FD3EFF"/>
    <w:rsid w:val="00FD3F3E"/>
    <w:rsid w:val="00FD3FCB"/>
    <w:rsid w:val="00FD44E1"/>
    <w:rsid w:val="00FD4673"/>
    <w:rsid w:val="00FD4F00"/>
    <w:rsid w:val="00FD4FAC"/>
    <w:rsid w:val="00FD515C"/>
    <w:rsid w:val="00FD5552"/>
    <w:rsid w:val="00FD57B4"/>
    <w:rsid w:val="00FD59A0"/>
    <w:rsid w:val="00FD5D9E"/>
    <w:rsid w:val="00FD5F1A"/>
    <w:rsid w:val="00FD63B3"/>
    <w:rsid w:val="00FD67CF"/>
    <w:rsid w:val="00FD6A26"/>
    <w:rsid w:val="00FD6CAA"/>
    <w:rsid w:val="00FD73DA"/>
    <w:rsid w:val="00FD7A45"/>
    <w:rsid w:val="00FD7C37"/>
    <w:rsid w:val="00FD7D8C"/>
    <w:rsid w:val="00FD7DD3"/>
    <w:rsid w:val="00FE0749"/>
    <w:rsid w:val="00FE0868"/>
    <w:rsid w:val="00FE092A"/>
    <w:rsid w:val="00FE0955"/>
    <w:rsid w:val="00FE0D67"/>
    <w:rsid w:val="00FE0EBB"/>
    <w:rsid w:val="00FE18A0"/>
    <w:rsid w:val="00FE1A78"/>
    <w:rsid w:val="00FE1AE5"/>
    <w:rsid w:val="00FE1B05"/>
    <w:rsid w:val="00FE1EE3"/>
    <w:rsid w:val="00FE21C4"/>
    <w:rsid w:val="00FE2788"/>
    <w:rsid w:val="00FE2D43"/>
    <w:rsid w:val="00FE2E0E"/>
    <w:rsid w:val="00FE34D5"/>
    <w:rsid w:val="00FE35AF"/>
    <w:rsid w:val="00FE35F9"/>
    <w:rsid w:val="00FE36AF"/>
    <w:rsid w:val="00FE36D8"/>
    <w:rsid w:val="00FE3866"/>
    <w:rsid w:val="00FE3D7C"/>
    <w:rsid w:val="00FE3F01"/>
    <w:rsid w:val="00FE400B"/>
    <w:rsid w:val="00FE44E3"/>
    <w:rsid w:val="00FE4593"/>
    <w:rsid w:val="00FE4767"/>
    <w:rsid w:val="00FE4E2A"/>
    <w:rsid w:val="00FE51B4"/>
    <w:rsid w:val="00FE760D"/>
    <w:rsid w:val="00FF0074"/>
    <w:rsid w:val="00FF01D0"/>
    <w:rsid w:val="00FF04FC"/>
    <w:rsid w:val="00FF0609"/>
    <w:rsid w:val="00FF06B5"/>
    <w:rsid w:val="00FF0704"/>
    <w:rsid w:val="00FF0A6F"/>
    <w:rsid w:val="00FF0DB3"/>
    <w:rsid w:val="00FF138F"/>
    <w:rsid w:val="00FF17EB"/>
    <w:rsid w:val="00FF1CD1"/>
    <w:rsid w:val="00FF1E5F"/>
    <w:rsid w:val="00FF1FD3"/>
    <w:rsid w:val="00FF213B"/>
    <w:rsid w:val="00FF229A"/>
    <w:rsid w:val="00FF22D6"/>
    <w:rsid w:val="00FF2435"/>
    <w:rsid w:val="00FF24A9"/>
    <w:rsid w:val="00FF294F"/>
    <w:rsid w:val="00FF2AD6"/>
    <w:rsid w:val="00FF2B62"/>
    <w:rsid w:val="00FF2E0D"/>
    <w:rsid w:val="00FF2F1C"/>
    <w:rsid w:val="00FF4048"/>
    <w:rsid w:val="00FF4070"/>
    <w:rsid w:val="00FF4545"/>
    <w:rsid w:val="00FF466F"/>
    <w:rsid w:val="00FF481D"/>
    <w:rsid w:val="00FF4E44"/>
    <w:rsid w:val="00FF51A0"/>
    <w:rsid w:val="00FF53BF"/>
    <w:rsid w:val="00FF55A4"/>
    <w:rsid w:val="00FF5602"/>
    <w:rsid w:val="00FF5A5F"/>
    <w:rsid w:val="00FF5CF5"/>
    <w:rsid w:val="00FF6504"/>
    <w:rsid w:val="00FF6C17"/>
    <w:rsid w:val="00FF6FB3"/>
    <w:rsid w:val="00FF702F"/>
    <w:rsid w:val="00FF7069"/>
    <w:rsid w:val="00FF7B76"/>
    <w:rsid w:val="00FF7CDC"/>
    <w:rsid w:val="00FF7D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72D7A"/>
  <w15:chartTrackingRefBased/>
  <w15:docId w15:val="{19767150-F81E-4C18-BFD5-1862F972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basedOn w:val="DefaultParagraphFont"/>
    <w:uiPriority w:val="99"/>
    <w:unhideWhenUsed/>
    <w:rsid w:val="00327363"/>
    <w:rPr>
      <w:color w:val="0000FF"/>
      <w:u w:val="single"/>
    </w:rPr>
  </w:style>
  <w:style w:type="paragraph" w:styleId="FootnoteText">
    <w:name w:val="footnote text"/>
    <w:basedOn w:val="Normal"/>
    <w:link w:val="FootnoteTextChar"/>
    <w:rsid w:val="00CF58FD"/>
    <w:rPr>
      <w:sz w:val="20"/>
      <w:szCs w:val="20"/>
    </w:rPr>
  </w:style>
  <w:style w:type="character" w:customStyle="1" w:styleId="FootnoteTextChar">
    <w:name w:val="Footnote Text Char"/>
    <w:basedOn w:val="DefaultParagraphFont"/>
    <w:link w:val="FootnoteText"/>
    <w:rsid w:val="00CF58FD"/>
    <w:rPr>
      <w:lang w:eastAsia="en-US"/>
    </w:rPr>
  </w:style>
  <w:style w:type="character" w:styleId="FootnoteReference">
    <w:name w:val="footnote reference"/>
    <w:basedOn w:val="DefaultParagraphFont"/>
    <w:rsid w:val="00CF58FD"/>
    <w:rPr>
      <w:vertAlign w:val="superscript"/>
    </w:rPr>
  </w:style>
  <w:style w:type="character" w:styleId="UnresolvedMention">
    <w:name w:val="Unresolved Mention"/>
    <w:basedOn w:val="DefaultParagraphFont"/>
    <w:uiPriority w:val="99"/>
    <w:semiHidden/>
    <w:unhideWhenUsed/>
    <w:rsid w:val="00D00D09"/>
    <w:rPr>
      <w:color w:val="605E5C"/>
      <w:shd w:val="clear" w:color="auto" w:fill="E1DFDD"/>
    </w:rPr>
  </w:style>
  <w:style w:type="paragraph" w:customStyle="1" w:styleId="legp1paratext">
    <w:name w:val="legp1paratext"/>
    <w:basedOn w:val="Normal"/>
    <w:rsid w:val="00534C46"/>
    <w:pPr>
      <w:spacing w:before="100" w:beforeAutospacing="1" w:after="100" w:afterAutospacing="1"/>
    </w:pPr>
    <w:rPr>
      <w:lang w:eastAsia="en-GB"/>
    </w:rPr>
  </w:style>
  <w:style w:type="character" w:customStyle="1" w:styleId="legp1no">
    <w:name w:val="legp1no"/>
    <w:basedOn w:val="DefaultParagraphFont"/>
    <w:rsid w:val="00534C46"/>
  </w:style>
  <w:style w:type="character" w:customStyle="1" w:styleId="legchangedelimiter">
    <w:name w:val="legchangedelimiter"/>
    <w:basedOn w:val="DefaultParagraphFont"/>
    <w:rsid w:val="00534C46"/>
  </w:style>
  <w:style w:type="character" w:customStyle="1" w:styleId="legaddition">
    <w:name w:val="legaddition"/>
    <w:basedOn w:val="DefaultParagraphFont"/>
    <w:rsid w:val="00534C46"/>
  </w:style>
  <w:style w:type="paragraph" w:customStyle="1" w:styleId="legp2paratext">
    <w:name w:val="legp2paratext"/>
    <w:basedOn w:val="Normal"/>
    <w:rsid w:val="00534C46"/>
    <w:pPr>
      <w:spacing w:before="100" w:beforeAutospacing="1" w:after="100" w:afterAutospacing="1"/>
    </w:pPr>
    <w:rPr>
      <w:lang w:eastAsia="en-GB"/>
    </w:rPr>
  </w:style>
  <w:style w:type="paragraph" w:customStyle="1" w:styleId="legclearfix">
    <w:name w:val="legclearfix"/>
    <w:basedOn w:val="Normal"/>
    <w:rsid w:val="00FA1994"/>
    <w:pPr>
      <w:spacing w:before="100" w:beforeAutospacing="1" w:after="100" w:afterAutospacing="1"/>
    </w:pPr>
    <w:rPr>
      <w:lang w:eastAsia="en-GB"/>
    </w:rPr>
  </w:style>
  <w:style w:type="character" w:customStyle="1" w:styleId="legds">
    <w:name w:val="legds"/>
    <w:basedOn w:val="DefaultParagraphFont"/>
    <w:rsid w:val="00FA1994"/>
  </w:style>
  <w:style w:type="paragraph" w:customStyle="1" w:styleId="legrhs">
    <w:name w:val="legrhs"/>
    <w:basedOn w:val="Normal"/>
    <w:rsid w:val="00FA1994"/>
    <w:pPr>
      <w:spacing w:before="100" w:beforeAutospacing="1" w:after="100" w:afterAutospacing="1"/>
    </w:pPr>
    <w:rPr>
      <w:lang w:eastAsia="en-GB"/>
    </w:rPr>
  </w:style>
  <w:style w:type="character" w:customStyle="1" w:styleId="legterm">
    <w:name w:val="legterm"/>
    <w:basedOn w:val="DefaultParagraphFont"/>
    <w:rsid w:val="00FA1994"/>
  </w:style>
  <w:style w:type="paragraph" w:styleId="ListParagraph">
    <w:name w:val="List Paragraph"/>
    <w:basedOn w:val="Normal"/>
    <w:uiPriority w:val="34"/>
    <w:qFormat/>
    <w:rsid w:val="004E5D77"/>
    <w:pPr>
      <w:ind w:left="720"/>
      <w:contextualSpacing/>
    </w:pPr>
  </w:style>
  <w:style w:type="character" w:styleId="CommentReference">
    <w:name w:val="annotation reference"/>
    <w:basedOn w:val="DefaultParagraphFont"/>
    <w:rsid w:val="00581100"/>
    <w:rPr>
      <w:sz w:val="16"/>
      <w:szCs w:val="16"/>
    </w:rPr>
  </w:style>
  <w:style w:type="paragraph" w:styleId="CommentText">
    <w:name w:val="annotation text"/>
    <w:basedOn w:val="Normal"/>
    <w:link w:val="CommentTextChar"/>
    <w:rsid w:val="00581100"/>
    <w:rPr>
      <w:sz w:val="20"/>
      <w:szCs w:val="20"/>
    </w:rPr>
  </w:style>
  <w:style w:type="character" w:customStyle="1" w:styleId="CommentTextChar">
    <w:name w:val="Comment Text Char"/>
    <w:basedOn w:val="DefaultParagraphFont"/>
    <w:link w:val="CommentText"/>
    <w:rsid w:val="00581100"/>
    <w:rPr>
      <w:lang w:eastAsia="en-US"/>
    </w:rPr>
  </w:style>
  <w:style w:type="paragraph" w:styleId="CommentSubject">
    <w:name w:val="annotation subject"/>
    <w:basedOn w:val="CommentText"/>
    <w:next w:val="CommentText"/>
    <w:link w:val="CommentSubjectChar"/>
    <w:rsid w:val="00581100"/>
    <w:rPr>
      <w:b/>
      <w:bCs/>
    </w:rPr>
  </w:style>
  <w:style w:type="character" w:customStyle="1" w:styleId="CommentSubjectChar">
    <w:name w:val="Comment Subject Char"/>
    <w:basedOn w:val="CommentTextChar"/>
    <w:link w:val="CommentSubject"/>
    <w:rsid w:val="00581100"/>
    <w:rPr>
      <w:b/>
      <w:bCs/>
      <w:lang w:eastAsia="en-US"/>
    </w:rPr>
  </w:style>
  <w:style w:type="paragraph" w:customStyle="1" w:styleId="paralevel10">
    <w:name w:val="paralevel1"/>
    <w:basedOn w:val="Normal"/>
    <w:rsid w:val="004957EE"/>
    <w:pPr>
      <w:spacing w:before="100" w:beforeAutospacing="1" w:after="100" w:afterAutospacing="1"/>
    </w:pPr>
    <w:rPr>
      <w:lang w:eastAsia="en-GB"/>
    </w:rPr>
  </w:style>
  <w:style w:type="character" w:customStyle="1" w:styleId="wordhighlighted">
    <w:name w:val="wordhighlighted"/>
    <w:basedOn w:val="DefaultParagraphFont"/>
    <w:rsid w:val="00823811"/>
  </w:style>
  <w:style w:type="character" w:customStyle="1" w:styleId="sb8d990e2">
    <w:name w:val="sb8d990e2"/>
    <w:basedOn w:val="DefaultParagraphFont"/>
    <w:rsid w:val="00823811"/>
  </w:style>
  <w:style w:type="paragraph" w:styleId="NormalWeb">
    <w:name w:val="Normal (Web)"/>
    <w:basedOn w:val="Normal"/>
    <w:uiPriority w:val="99"/>
    <w:unhideWhenUsed/>
    <w:rsid w:val="005E16CC"/>
    <w:pPr>
      <w:spacing w:before="100" w:beforeAutospacing="1" w:after="100" w:afterAutospacing="1"/>
    </w:pPr>
    <w:rPr>
      <w:lang w:eastAsia="en-GB"/>
    </w:rPr>
  </w:style>
  <w:style w:type="character" w:customStyle="1" w:styleId="cosearchterm">
    <w:name w:val="co_searchterm"/>
    <w:basedOn w:val="DefaultParagraphFont"/>
    <w:rsid w:val="000B78EF"/>
  </w:style>
  <w:style w:type="character" w:customStyle="1" w:styleId="FooterChar">
    <w:name w:val="Footer Char"/>
    <w:basedOn w:val="DefaultParagraphFont"/>
    <w:link w:val="Footer"/>
    <w:uiPriority w:val="99"/>
    <w:rsid w:val="00972118"/>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911">
      <w:bodyDiv w:val="1"/>
      <w:marLeft w:val="0"/>
      <w:marRight w:val="0"/>
      <w:marTop w:val="0"/>
      <w:marBottom w:val="0"/>
      <w:divBdr>
        <w:top w:val="none" w:sz="0" w:space="0" w:color="auto"/>
        <w:left w:val="none" w:sz="0" w:space="0" w:color="auto"/>
        <w:bottom w:val="none" w:sz="0" w:space="0" w:color="auto"/>
        <w:right w:val="none" w:sz="0" w:space="0" w:color="auto"/>
      </w:divBdr>
    </w:div>
    <w:div w:id="88434052">
      <w:bodyDiv w:val="1"/>
      <w:marLeft w:val="0"/>
      <w:marRight w:val="0"/>
      <w:marTop w:val="0"/>
      <w:marBottom w:val="0"/>
      <w:divBdr>
        <w:top w:val="none" w:sz="0" w:space="0" w:color="auto"/>
        <w:left w:val="none" w:sz="0" w:space="0" w:color="auto"/>
        <w:bottom w:val="none" w:sz="0" w:space="0" w:color="auto"/>
        <w:right w:val="none" w:sz="0" w:space="0" w:color="auto"/>
      </w:divBdr>
    </w:div>
    <w:div w:id="101613149">
      <w:bodyDiv w:val="1"/>
      <w:marLeft w:val="0"/>
      <w:marRight w:val="0"/>
      <w:marTop w:val="0"/>
      <w:marBottom w:val="0"/>
      <w:divBdr>
        <w:top w:val="none" w:sz="0" w:space="0" w:color="auto"/>
        <w:left w:val="none" w:sz="0" w:space="0" w:color="auto"/>
        <w:bottom w:val="none" w:sz="0" w:space="0" w:color="auto"/>
        <w:right w:val="none" w:sz="0" w:space="0" w:color="auto"/>
      </w:divBdr>
    </w:div>
    <w:div w:id="114301996">
      <w:bodyDiv w:val="1"/>
      <w:marLeft w:val="0"/>
      <w:marRight w:val="0"/>
      <w:marTop w:val="0"/>
      <w:marBottom w:val="0"/>
      <w:divBdr>
        <w:top w:val="none" w:sz="0" w:space="0" w:color="auto"/>
        <w:left w:val="none" w:sz="0" w:space="0" w:color="auto"/>
        <w:bottom w:val="none" w:sz="0" w:space="0" w:color="auto"/>
        <w:right w:val="none" w:sz="0" w:space="0" w:color="auto"/>
      </w:divBdr>
    </w:div>
    <w:div w:id="154614553">
      <w:bodyDiv w:val="1"/>
      <w:marLeft w:val="0"/>
      <w:marRight w:val="0"/>
      <w:marTop w:val="0"/>
      <w:marBottom w:val="0"/>
      <w:divBdr>
        <w:top w:val="none" w:sz="0" w:space="0" w:color="auto"/>
        <w:left w:val="none" w:sz="0" w:space="0" w:color="auto"/>
        <w:bottom w:val="none" w:sz="0" w:space="0" w:color="auto"/>
        <w:right w:val="none" w:sz="0" w:space="0" w:color="auto"/>
      </w:divBdr>
      <w:divsChild>
        <w:div w:id="116874453">
          <w:marLeft w:val="0"/>
          <w:marRight w:val="0"/>
          <w:marTop w:val="0"/>
          <w:marBottom w:val="0"/>
          <w:divBdr>
            <w:top w:val="none" w:sz="0" w:space="0" w:color="auto"/>
            <w:left w:val="none" w:sz="0" w:space="0" w:color="auto"/>
            <w:bottom w:val="none" w:sz="0" w:space="0" w:color="auto"/>
            <w:right w:val="none" w:sz="0" w:space="0" w:color="auto"/>
          </w:divBdr>
          <w:divsChild>
            <w:div w:id="1495679644">
              <w:marLeft w:val="0"/>
              <w:marRight w:val="0"/>
              <w:marTop w:val="0"/>
              <w:marBottom w:val="0"/>
              <w:divBdr>
                <w:top w:val="none" w:sz="0" w:space="0" w:color="auto"/>
                <w:left w:val="none" w:sz="0" w:space="0" w:color="auto"/>
                <w:bottom w:val="none" w:sz="0" w:space="0" w:color="auto"/>
                <w:right w:val="none" w:sz="0" w:space="0" w:color="auto"/>
              </w:divBdr>
            </w:div>
            <w:div w:id="1784878495">
              <w:marLeft w:val="0"/>
              <w:marRight w:val="0"/>
              <w:marTop w:val="0"/>
              <w:marBottom w:val="0"/>
              <w:divBdr>
                <w:top w:val="none" w:sz="0" w:space="0" w:color="auto"/>
                <w:left w:val="none" w:sz="0" w:space="0" w:color="auto"/>
                <w:bottom w:val="none" w:sz="0" w:space="0" w:color="auto"/>
                <w:right w:val="none" w:sz="0" w:space="0" w:color="auto"/>
              </w:divBdr>
            </w:div>
          </w:divsChild>
        </w:div>
        <w:div w:id="1852258123">
          <w:marLeft w:val="0"/>
          <w:marRight w:val="0"/>
          <w:marTop w:val="0"/>
          <w:marBottom w:val="0"/>
          <w:divBdr>
            <w:top w:val="none" w:sz="0" w:space="0" w:color="auto"/>
            <w:left w:val="none" w:sz="0" w:space="0" w:color="auto"/>
            <w:bottom w:val="none" w:sz="0" w:space="0" w:color="auto"/>
            <w:right w:val="none" w:sz="0" w:space="0" w:color="auto"/>
          </w:divBdr>
        </w:div>
        <w:div w:id="1411922328">
          <w:marLeft w:val="0"/>
          <w:marRight w:val="0"/>
          <w:marTop w:val="0"/>
          <w:marBottom w:val="0"/>
          <w:divBdr>
            <w:top w:val="none" w:sz="0" w:space="0" w:color="auto"/>
            <w:left w:val="none" w:sz="0" w:space="0" w:color="auto"/>
            <w:bottom w:val="none" w:sz="0" w:space="0" w:color="auto"/>
            <w:right w:val="none" w:sz="0" w:space="0" w:color="auto"/>
          </w:divBdr>
        </w:div>
      </w:divsChild>
    </w:div>
    <w:div w:id="158739724">
      <w:bodyDiv w:val="1"/>
      <w:marLeft w:val="0"/>
      <w:marRight w:val="0"/>
      <w:marTop w:val="0"/>
      <w:marBottom w:val="0"/>
      <w:divBdr>
        <w:top w:val="none" w:sz="0" w:space="0" w:color="auto"/>
        <w:left w:val="none" w:sz="0" w:space="0" w:color="auto"/>
        <w:bottom w:val="none" w:sz="0" w:space="0" w:color="auto"/>
        <w:right w:val="none" w:sz="0" w:space="0" w:color="auto"/>
      </w:divBdr>
    </w:div>
    <w:div w:id="181818902">
      <w:bodyDiv w:val="1"/>
      <w:marLeft w:val="0"/>
      <w:marRight w:val="0"/>
      <w:marTop w:val="0"/>
      <w:marBottom w:val="0"/>
      <w:divBdr>
        <w:top w:val="none" w:sz="0" w:space="0" w:color="auto"/>
        <w:left w:val="none" w:sz="0" w:space="0" w:color="auto"/>
        <w:bottom w:val="none" w:sz="0" w:space="0" w:color="auto"/>
        <w:right w:val="none" w:sz="0" w:space="0" w:color="auto"/>
      </w:divBdr>
      <w:divsChild>
        <w:div w:id="1852143558">
          <w:marLeft w:val="0"/>
          <w:marRight w:val="0"/>
          <w:marTop w:val="0"/>
          <w:marBottom w:val="0"/>
          <w:divBdr>
            <w:top w:val="none" w:sz="0" w:space="0" w:color="auto"/>
            <w:left w:val="none" w:sz="0" w:space="0" w:color="auto"/>
            <w:bottom w:val="none" w:sz="0" w:space="0" w:color="auto"/>
            <w:right w:val="none" w:sz="0" w:space="0" w:color="auto"/>
          </w:divBdr>
          <w:divsChild>
            <w:div w:id="1808663764">
              <w:marLeft w:val="0"/>
              <w:marRight w:val="0"/>
              <w:marTop w:val="0"/>
              <w:marBottom w:val="0"/>
              <w:divBdr>
                <w:top w:val="none" w:sz="0" w:space="0" w:color="auto"/>
                <w:left w:val="none" w:sz="0" w:space="0" w:color="auto"/>
                <w:bottom w:val="none" w:sz="0" w:space="0" w:color="auto"/>
                <w:right w:val="none" w:sz="0" w:space="0" w:color="auto"/>
              </w:divBdr>
            </w:div>
            <w:div w:id="871267076">
              <w:marLeft w:val="0"/>
              <w:marRight w:val="0"/>
              <w:marTop w:val="0"/>
              <w:marBottom w:val="0"/>
              <w:divBdr>
                <w:top w:val="none" w:sz="0" w:space="0" w:color="auto"/>
                <w:left w:val="none" w:sz="0" w:space="0" w:color="auto"/>
                <w:bottom w:val="none" w:sz="0" w:space="0" w:color="auto"/>
                <w:right w:val="none" w:sz="0" w:space="0" w:color="auto"/>
              </w:divBdr>
            </w:div>
          </w:divsChild>
        </w:div>
        <w:div w:id="1634823109">
          <w:marLeft w:val="0"/>
          <w:marRight w:val="0"/>
          <w:marTop w:val="0"/>
          <w:marBottom w:val="0"/>
          <w:divBdr>
            <w:top w:val="none" w:sz="0" w:space="0" w:color="auto"/>
            <w:left w:val="none" w:sz="0" w:space="0" w:color="auto"/>
            <w:bottom w:val="none" w:sz="0" w:space="0" w:color="auto"/>
            <w:right w:val="none" w:sz="0" w:space="0" w:color="auto"/>
          </w:divBdr>
          <w:divsChild>
            <w:div w:id="179587843">
              <w:marLeft w:val="0"/>
              <w:marRight w:val="0"/>
              <w:marTop w:val="0"/>
              <w:marBottom w:val="0"/>
              <w:divBdr>
                <w:top w:val="none" w:sz="0" w:space="0" w:color="auto"/>
                <w:left w:val="none" w:sz="0" w:space="0" w:color="auto"/>
                <w:bottom w:val="none" w:sz="0" w:space="0" w:color="auto"/>
                <w:right w:val="none" w:sz="0" w:space="0" w:color="auto"/>
              </w:divBdr>
            </w:div>
            <w:div w:id="1480881281">
              <w:marLeft w:val="0"/>
              <w:marRight w:val="0"/>
              <w:marTop w:val="0"/>
              <w:marBottom w:val="0"/>
              <w:divBdr>
                <w:top w:val="none" w:sz="0" w:space="0" w:color="auto"/>
                <w:left w:val="none" w:sz="0" w:space="0" w:color="auto"/>
                <w:bottom w:val="none" w:sz="0" w:space="0" w:color="auto"/>
                <w:right w:val="none" w:sz="0" w:space="0" w:color="auto"/>
              </w:divBdr>
            </w:div>
            <w:div w:id="1868640085">
              <w:marLeft w:val="0"/>
              <w:marRight w:val="0"/>
              <w:marTop w:val="0"/>
              <w:marBottom w:val="0"/>
              <w:divBdr>
                <w:top w:val="none" w:sz="0" w:space="0" w:color="auto"/>
                <w:left w:val="none" w:sz="0" w:space="0" w:color="auto"/>
                <w:bottom w:val="none" w:sz="0" w:space="0" w:color="auto"/>
                <w:right w:val="none" w:sz="0" w:space="0" w:color="auto"/>
              </w:divBdr>
              <w:divsChild>
                <w:div w:id="758720291">
                  <w:marLeft w:val="0"/>
                  <w:marRight w:val="0"/>
                  <w:marTop w:val="0"/>
                  <w:marBottom w:val="0"/>
                  <w:divBdr>
                    <w:top w:val="none" w:sz="0" w:space="0" w:color="auto"/>
                    <w:left w:val="none" w:sz="0" w:space="0" w:color="auto"/>
                    <w:bottom w:val="none" w:sz="0" w:space="0" w:color="auto"/>
                    <w:right w:val="none" w:sz="0" w:space="0" w:color="auto"/>
                  </w:divBdr>
                </w:div>
                <w:div w:id="2033140292">
                  <w:marLeft w:val="0"/>
                  <w:marRight w:val="0"/>
                  <w:marTop w:val="0"/>
                  <w:marBottom w:val="0"/>
                  <w:divBdr>
                    <w:top w:val="none" w:sz="0" w:space="0" w:color="auto"/>
                    <w:left w:val="none" w:sz="0" w:space="0" w:color="auto"/>
                    <w:bottom w:val="none" w:sz="0" w:space="0" w:color="auto"/>
                    <w:right w:val="none" w:sz="0" w:space="0" w:color="auto"/>
                  </w:divBdr>
                </w:div>
                <w:div w:id="882599402">
                  <w:marLeft w:val="0"/>
                  <w:marRight w:val="0"/>
                  <w:marTop w:val="0"/>
                  <w:marBottom w:val="0"/>
                  <w:divBdr>
                    <w:top w:val="none" w:sz="0" w:space="0" w:color="auto"/>
                    <w:left w:val="none" w:sz="0" w:space="0" w:color="auto"/>
                    <w:bottom w:val="none" w:sz="0" w:space="0" w:color="auto"/>
                    <w:right w:val="none" w:sz="0" w:space="0" w:color="auto"/>
                  </w:divBdr>
                </w:div>
              </w:divsChild>
            </w:div>
            <w:div w:id="1583759776">
              <w:marLeft w:val="0"/>
              <w:marRight w:val="0"/>
              <w:marTop w:val="0"/>
              <w:marBottom w:val="0"/>
              <w:divBdr>
                <w:top w:val="none" w:sz="0" w:space="0" w:color="auto"/>
                <w:left w:val="none" w:sz="0" w:space="0" w:color="auto"/>
                <w:bottom w:val="none" w:sz="0" w:space="0" w:color="auto"/>
                <w:right w:val="none" w:sz="0" w:space="0" w:color="auto"/>
              </w:divBdr>
            </w:div>
            <w:div w:id="9113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9117">
      <w:bodyDiv w:val="1"/>
      <w:marLeft w:val="0"/>
      <w:marRight w:val="0"/>
      <w:marTop w:val="0"/>
      <w:marBottom w:val="0"/>
      <w:divBdr>
        <w:top w:val="none" w:sz="0" w:space="0" w:color="auto"/>
        <w:left w:val="none" w:sz="0" w:space="0" w:color="auto"/>
        <w:bottom w:val="none" w:sz="0" w:space="0" w:color="auto"/>
        <w:right w:val="none" w:sz="0" w:space="0" w:color="auto"/>
      </w:divBdr>
    </w:div>
    <w:div w:id="225457239">
      <w:bodyDiv w:val="1"/>
      <w:marLeft w:val="0"/>
      <w:marRight w:val="0"/>
      <w:marTop w:val="0"/>
      <w:marBottom w:val="0"/>
      <w:divBdr>
        <w:top w:val="none" w:sz="0" w:space="0" w:color="auto"/>
        <w:left w:val="none" w:sz="0" w:space="0" w:color="auto"/>
        <w:bottom w:val="none" w:sz="0" w:space="0" w:color="auto"/>
        <w:right w:val="none" w:sz="0" w:space="0" w:color="auto"/>
      </w:divBdr>
      <w:divsChild>
        <w:div w:id="13578540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392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416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322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9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948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071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959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64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5618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760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6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94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82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852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3757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0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43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6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7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988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2217103">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1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450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638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25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40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88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82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06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5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242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5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400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4799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38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156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4596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72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16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55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380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4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08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45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759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002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048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362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686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07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923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80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9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525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288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74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547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693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56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0359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428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83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6561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12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304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4846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28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033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24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52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9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473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8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04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098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04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19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75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528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2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291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795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219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77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409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3469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72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0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12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67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6198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128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48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216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21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642122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618917">
      <w:bodyDiv w:val="1"/>
      <w:marLeft w:val="0"/>
      <w:marRight w:val="0"/>
      <w:marTop w:val="0"/>
      <w:marBottom w:val="0"/>
      <w:divBdr>
        <w:top w:val="none" w:sz="0" w:space="0" w:color="auto"/>
        <w:left w:val="none" w:sz="0" w:space="0" w:color="auto"/>
        <w:bottom w:val="none" w:sz="0" w:space="0" w:color="auto"/>
        <w:right w:val="none" w:sz="0" w:space="0" w:color="auto"/>
      </w:divBdr>
    </w:div>
    <w:div w:id="267078636">
      <w:bodyDiv w:val="1"/>
      <w:marLeft w:val="0"/>
      <w:marRight w:val="0"/>
      <w:marTop w:val="0"/>
      <w:marBottom w:val="0"/>
      <w:divBdr>
        <w:top w:val="none" w:sz="0" w:space="0" w:color="auto"/>
        <w:left w:val="none" w:sz="0" w:space="0" w:color="auto"/>
        <w:bottom w:val="none" w:sz="0" w:space="0" w:color="auto"/>
        <w:right w:val="none" w:sz="0" w:space="0" w:color="auto"/>
      </w:divBdr>
    </w:div>
    <w:div w:id="324282401">
      <w:bodyDiv w:val="1"/>
      <w:marLeft w:val="0"/>
      <w:marRight w:val="0"/>
      <w:marTop w:val="0"/>
      <w:marBottom w:val="0"/>
      <w:divBdr>
        <w:top w:val="none" w:sz="0" w:space="0" w:color="auto"/>
        <w:left w:val="none" w:sz="0" w:space="0" w:color="auto"/>
        <w:bottom w:val="none" w:sz="0" w:space="0" w:color="auto"/>
        <w:right w:val="none" w:sz="0" w:space="0" w:color="auto"/>
      </w:divBdr>
      <w:divsChild>
        <w:div w:id="34190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9185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8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5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229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01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897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337660">
          <w:blockQuote w:val="1"/>
          <w:marLeft w:val="720"/>
          <w:marRight w:val="720"/>
          <w:marTop w:val="100"/>
          <w:marBottom w:val="100"/>
          <w:divBdr>
            <w:top w:val="none" w:sz="0" w:space="0" w:color="auto"/>
            <w:left w:val="none" w:sz="0" w:space="0" w:color="auto"/>
            <w:bottom w:val="none" w:sz="0" w:space="0" w:color="auto"/>
            <w:right w:val="none" w:sz="0" w:space="0" w:color="auto"/>
          </w:divBdr>
        </w:div>
        <w:div w:id="915937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85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91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24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471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171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994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3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28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22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842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1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921186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292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612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438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5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8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161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625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42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134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34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373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8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91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03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864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89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2420359">
      <w:bodyDiv w:val="1"/>
      <w:marLeft w:val="0"/>
      <w:marRight w:val="0"/>
      <w:marTop w:val="0"/>
      <w:marBottom w:val="0"/>
      <w:divBdr>
        <w:top w:val="none" w:sz="0" w:space="0" w:color="auto"/>
        <w:left w:val="none" w:sz="0" w:space="0" w:color="auto"/>
        <w:bottom w:val="none" w:sz="0" w:space="0" w:color="auto"/>
        <w:right w:val="none" w:sz="0" w:space="0" w:color="auto"/>
      </w:divBdr>
    </w:div>
    <w:div w:id="362899244">
      <w:bodyDiv w:val="1"/>
      <w:marLeft w:val="0"/>
      <w:marRight w:val="0"/>
      <w:marTop w:val="0"/>
      <w:marBottom w:val="0"/>
      <w:divBdr>
        <w:top w:val="none" w:sz="0" w:space="0" w:color="auto"/>
        <w:left w:val="none" w:sz="0" w:space="0" w:color="auto"/>
        <w:bottom w:val="none" w:sz="0" w:space="0" w:color="auto"/>
        <w:right w:val="none" w:sz="0" w:space="0" w:color="auto"/>
      </w:divBdr>
      <w:divsChild>
        <w:div w:id="1464494799">
          <w:marLeft w:val="0"/>
          <w:marRight w:val="0"/>
          <w:marTop w:val="0"/>
          <w:marBottom w:val="0"/>
          <w:divBdr>
            <w:top w:val="none" w:sz="0" w:space="0" w:color="auto"/>
            <w:left w:val="none" w:sz="0" w:space="0" w:color="auto"/>
            <w:bottom w:val="none" w:sz="0" w:space="0" w:color="auto"/>
            <w:right w:val="none" w:sz="0" w:space="0" w:color="auto"/>
          </w:divBdr>
        </w:div>
        <w:div w:id="744182254">
          <w:marLeft w:val="0"/>
          <w:marRight w:val="0"/>
          <w:marTop w:val="0"/>
          <w:marBottom w:val="0"/>
          <w:divBdr>
            <w:top w:val="none" w:sz="0" w:space="0" w:color="auto"/>
            <w:left w:val="none" w:sz="0" w:space="0" w:color="auto"/>
            <w:bottom w:val="none" w:sz="0" w:space="0" w:color="auto"/>
            <w:right w:val="none" w:sz="0" w:space="0" w:color="auto"/>
          </w:divBdr>
        </w:div>
        <w:div w:id="453519331">
          <w:marLeft w:val="0"/>
          <w:marRight w:val="0"/>
          <w:marTop w:val="0"/>
          <w:marBottom w:val="0"/>
          <w:divBdr>
            <w:top w:val="none" w:sz="0" w:space="0" w:color="auto"/>
            <w:left w:val="none" w:sz="0" w:space="0" w:color="auto"/>
            <w:bottom w:val="none" w:sz="0" w:space="0" w:color="auto"/>
            <w:right w:val="none" w:sz="0" w:space="0" w:color="auto"/>
          </w:divBdr>
          <w:divsChild>
            <w:div w:id="1099376037">
              <w:marLeft w:val="0"/>
              <w:marRight w:val="0"/>
              <w:marTop w:val="0"/>
              <w:marBottom w:val="0"/>
              <w:divBdr>
                <w:top w:val="none" w:sz="0" w:space="0" w:color="auto"/>
                <w:left w:val="none" w:sz="0" w:space="0" w:color="auto"/>
                <w:bottom w:val="none" w:sz="0" w:space="0" w:color="auto"/>
                <w:right w:val="none" w:sz="0" w:space="0" w:color="auto"/>
              </w:divBdr>
            </w:div>
            <w:div w:id="1005327928">
              <w:marLeft w:val="0"/>
              <w:marRight w:val="0"/>
              <w:marTop w:val="0"/>
              <w:marBottom w:val="0"/>
              <w:divBdr>
                <w:top w:val="none" w:sz="0" w:space="0" w:color="auto"/>
                <w:left w:val="none" w:sz="0" w:space="0" w:color="auto"/>
                <w:bottom w:val="none" w:sz="0" w:space="0" w:color="auto"/>
                <w:right w:val="none" w:sz="0" w:space="0" w:color="auto"/>
              </w:divBdr>
            </w:div>
            <w:div w:id="2113164591">
              <w:marLeft w:val="0"/>
              <w:marRight w:val="0"/>
              <w:marTop w:val="0"/>
              <w:marBottom w:val="0"/>
              <w:divBdr>
                <w:top w:val="none" w:sz="0" w:space="0" w:color="auto"/>
                <w:left w:val="none" w:sz="0" w:space="0" w:color="auto"/>
                <w:bottom w:val="none" w:sz="0" w:space="0" w:color="auto"/>
                <w:right w:val="none" w:sz="0" w:space="0" w:color="auto"/>
              </w:divBdr>
            </w:div>
          </w:divsChild>
        </w:div>
        <w:div w:id="1056466160">
          <w:marLeft w:val="0"/>
          <w:marRight w:val="0"/>
          <w:marTop w:val="0"/>
          <w:marBottom w:val="0"/>
          <w:divBdr>
            <w:top w:val="none" w:sz="0" w:space="0" w:color="auto"/>
            <w:left w:val="none" w:sz="0" w:space="0" w:color="auto"/>
            <w:bottom w:val="none" w:sz="0" w:space="0" w:color="auto"/>
            <w:right w:val="none" w:sz="0" w:space="0" w:color="auto"/>
          </w:divBdr>
        </w:div>
        <w:div w:id="2033457601">
          <w:marLeft w:val="0"/>
          <w:marRight w:val="0"/>
          <w:marTop w:val="0"/>
          <w:marBottom w:val="0"/>
          <w:divBdr>
            <w:top w:val="none" w:sz="0" w:space="0" w:color="auto"/>
            <w:left w:val="none" w:sz="0" w:space="0" w:color="auto"/>
            <w:bottom w:val="none" w:sz="0" w:space="0" w:color="auto"/>
            <w:right w:val="none" w:sz="0" w:space="0" w:color="auto"/>
          </w:divBdr>
        </w:div>
      </w:divsChild>
    </w:div>
    <w:div w:id="473333220">
      <w:bodyDiv w:val="1"/>
      <w:marLeft w:val="0"/>
      <w:marRight w:val="0"/>
      <w:marTop w:val="0"/>
      <w:marBottom w:val="0"/>
      <w:divBdr>
        <w:top w:val="none" w:sz="0" w:space="0" w:color="auto"/>
        <w:left w:val="none" w:sz="0" w:space="0" w:color="auto"/>
        <w:bottom w:val="none" w:sz="0" w:space="0" w:color="auto"/>
        <w:right w:val="none" w:sz="0" w:space="0" w:color="auto"/>
      </w:divBdr>
      <w:divsChild>
        <w:div w:id="77544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79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8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938649">
      <w:bodyDiv w:val="1"/>
      <w:marLeft w:val="0"/>
      <w:marRight w:val="0"/>
      <w:marTop w:val="0"/>
      <w:marBottom w:val="0"/>
      <w:divBdr>
        <w:top w:val="none" w:sz="0" w:space="0" w:color="auto"/>
        <w:left w:val="none" w:sz="0" w:space="0" w:color="auto"/>
        <w:bottom w:val="none" w:sz="0" w:space="0" w:color="auto"/>
        <w:right w:val="none" w:sz="0" w:space="0" w:color="auto"/>
      </w:divBdr>
    </w:div>
    <w:div w:id="558371253">
      <w:bodyDiv w:val="1"/>
      <w:marLeft w:val="0"/>
      <w:marRight w:val="0"/>
      <w:marTop w:val="0"/>
      <w:marBottom w:val="0"/>
      <w:divBdr>
        <w:top w:val="none" w:sz="0" w:space="0" w:color="auto"/>
        <w:left w:val="none" w:sz="0" w:space="0" w:color="auto"/>
        <w:bottom w:val="none" w:sz="0" w:space="0" w:color="auto"/>
        <w:right w:val="none" w:sz="0" w:space="0" w:color="auto"/>
      </w:divBdr>
    </w:div>
    <w:div w:id="565996317">
      <w:bodyDiv w:val="1"/>
      <w:marLeft w:val="0"/>
      <w:marRight w:val="0"/>
      <w:marTop w:val="0"/>
      <w:marBottom w:val="0"/>
      <w:divBdr>
        <w:top w:val="none" w:sz="0" w:space="0" w:color="auto"/>
        <w:left w:val="none" w:sz="0" w:space="0" w:color="auto"/>
        <w:bottom w:val="none" w:sz="0" w:space="0" w:color="auto"/>
        <w:right w:val="none" w:sz="0" w:space="0" w:color="auto"/>
      </w:divBdr>
      <w:divsChild>
        <w:div w:id="506790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946071">
      <w:bodyDiv w:val="1"/>
      <w:marLeft w:val="0"/>
      <w:marRight w:val="0"/>
      <w:marTop w:val="0"/>
      <w:marBottom w:val="0"/>
      <w:divBdr>
        <w:top w:val="none" w:sz="0" w:space="0" w:color="auto"/>
        <w:left w:val="none" w:sz="0" w:space="0" w:color="auto"/>
        <w:bottom w:val="none" w:sz="0" w:space="0" w:color="auto"/>
        <w:right w:val="none" w:sz="0" w:space="0" w:color="auto"/>
      </w:divBdr>
      <w:divsChild>
        <w:div w:id="172525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930236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138157">
      <w:bodyDiv w:val="1"/>
      <w:marLeft w:val="0"/>
      <w:marRight w:val="0"/>
      <w:marTop w:val="0"/>
      <w:marBottom w:val="0"/>
      <w:divBdr>
        <w:top w:val="none" w:sz="0" w:space="0" w:color="auto"/>
        <w:left w:val="none" w:sz="0" w:space="0" w:color="auto"/>
        <w:bottom w:val="none" w:sz="0" w:space="0" w:color="auto"/>
        <w:right w:val="none" w:sz="0" w:space="0" w:color="auto"/>
      </w:divBdr>
      <w:divsChild>
        <w:div w:id="1632252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096792">
      <w:bodyDiv w:val="1"/>
      <w:marLeft w:val="0"/>
      <w:marRight w:val="0"/>
      <w:marTop w:val="0"/>
      <w:marBottom w:val="0"/>
      <w:divBdr>
        <w:top w:val="none" w:sz="0" w:space="0" w:color="auto"/>
        <w:left w:val="none" w:sz="0" w:space="0" w:color="auto"/>
        <w:bottom w:val="none" w:sz="0" w:space="0" w:color="auto"/>
        <w:right w:val="none" w:sz="0" w:space="0" w:color="auto"/>
      </w:divBdr>
    </w:div>
    <w:div w:id="660498522">
      <w:bodyDiv w:val="1"/>
      <w:marLeft w:val="0"/>
      <w:marRight w:val="0"/>
      <w:marTop w:val="0"/>
      <w:marBottom w:val="0"/>
      <w:divBdr>
        <w:top w:val="none" w:sz="0" w:space="0" w:color="auto"/>
        <w:left w:val="none" w:sz="0" w:space="0" w:color="auto"/>
        <w:bottom w:val="none" w:sz="0" w:space="0" w:color="auto"/>
        <w:right w:val="none" w:sz="0" w:space="0" w:color="auto"/>
      </w:divBdr>
    </w:div>
    <w:div w:id="742719628">
      <w:bodyDiv w:val="1"/>
      <w:marLeft w:val="0"/>
      <w:marRight w:val="0"/>
      <w:marTop w:val="0"/>
      <w:marBottom w:val="0"/>
      <w:divBdr>
        <w:top w:val="none" w:sz="0" w:space="0" w:color="auto"/>
        <w:left w:val="none" w:sz="0" w:space="0" w:color="auto"/>
        <w:bottom w:val="none" w:sz="0" w:space="0" w:color="auto"/>
        <w:right w:val="none" w:sz="0" w:space="0" w:color="auto"/>
      </w:divBdr>
    </w:div>
    <w:div w:id="813957242">
      <w:bodyDiv w:val="1"/>
      <w:marLeft w:val="0"/>
      <w:marRight w:val="0"/>
      <w:marTop w:val="0"/>
      <w:marBottom w:val="0"/>
      <w:divBdr>
        <w:top w:val="none" w:sz="0" w:space="0" w:color="auto"/>
        <w:left w:val="none" w:sz="0" w:space="0" w:color="auto"/>
        <w:bottom w:val="none" w:sz="0" w:space="0" w:color="auto"/>
        <w:right w:val="none" w:sz="0" w:space="0" w:color="auto"/>
      </w:divBdr>
      <w:divsChild>
        <w:div w:id="1945378787">
          <w:blockQuote w:val="1"/>
          <w:marLeft w:val="720"/>
          <w:marRight w:val="720"/>
          <w:marTop w:val="100"/>
          <w:marBottom w:val="100"/>
          <w:divBdr>
            <w:top w:val="none" w:sz="0" w:space="0" w:color="auto"/>
            <w:left w:val="none" w:sz="0" w:space="0" w:color="auto"/>
            <w:bottom w:val="none" w:sz="0" w:space="0" w:color="auto"/>
            <w:right w:val="none" w:sz="0" w:space="0" w:color="auto"/>
          </w:divBdr>
        </w:div>
        <w:div w:id="59115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13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45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17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28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36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21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37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418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7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50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479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372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43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2498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66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9653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56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29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339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2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858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094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59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534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491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62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035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41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82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665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558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032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06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297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1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264850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02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995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356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159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665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20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1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4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665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605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006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393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1233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81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85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756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18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727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8355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94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572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573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5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98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64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72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46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499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342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88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260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69531">
          <w:blockQuote w:val="1"/>
          <w:marLeft w:val="720"/>
          <w:marRight w:val="720"/>
          <w:marTop w:val="100"/>
          <w:marBottom w:val="100"/>
          <w:divBdr>
            <w:top w:val="none" w:sz="0" w:space="0" w:color="auto"/>
            <w:left w:val="none" w:sz="0" w:space="0" w:color="auto"/>
            <w:bottom w:val="none" w:sz="0" w:space="0" w:color="auto"/>
            <w:right w:val="none" w:sz="0" w:space="0" w:color="auto"/>
          </w:divBdr>
        </w:div>
        <w:div w:id="5889246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15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3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46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640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0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12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261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318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23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565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896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72984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4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3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228621">
          <w:blockQuote w:val="1"/>
          <w:marLeft w:val="720"/>
          <w:marRight w:val="720"/>
          <w:marTop w:val="100"/>
          <w:marBottom w:val="100"/>
          <w:divBdr>
            <w:top w:val="none" w:sz="0" w:space="0" w:color="auto"/>
            <w:left w:val="none" w:sz="0" w:space="0" w:color="auto"/>
            <w:bottom w:val="none" w:sz="0" w:space="0" w:color="auto"/>
            <w:right w:val="none" w:sz="0" w:space="0" w:color="auto"/>
          </w:divBdr>
        </w:div>
        <w:div w:id="565798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8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84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372892">
      <w:bodyDiv w:val="1"/>
      <w:marLeft w:val="0"/>
      <w:marRight w:val="0"/>
      <w:marTop w:val="0"/>
      <w:marBottom w:val="0"/>
      <w:divBdr>
        <w:top w:val="none" w:sz="0" w:space="0" w:color="auto"/>
        <w:left w:val="none" w:sz="0" w:space="0" w:color="auto"/>
        <w:bottom w:val="none" w:sz="0" w:space="0" w:color="auto"/>
        <w:right w:val="none" w:sz="0" w:space="0" w:color="auto"/>
      </w:divBdr>
    </w:div>
    <w:div w:id="843781160">
      <w:bodyDiv w:val="1"/>
      <w:marLeft w:val="0"/>
      <w:marRight w:val="0"/>
      <w:marTop w:val="0"/>
      <w:marBottom w:val="0"/>
      <w:divBdr>
        <w:top w:val="none" w:sz="0" w:space="0" w:color="auto"/>
        <w:left w:val="none" w:sz="0" w:space="0" w:color="auto"/>
        <w:bottom w:val="none" w:sz="0" w:space="0" w:color="auto"/>
        <w:right w:val="none" w:sz="0" w:space="0" w:color="auto"/>
      </w:divBdr>
    </w:div>
    <w:div w:id="978530161">
      <w:bodyDiv w:val="1"/>
      <w:marLeft w:val="0"/>
      <w:marRight w:val="0"/>
      <w:marTop w:val="0"/>
      <w:marBottom w:val="0"/>
      <w:divBdr>
        <w:top w:val="none" w:sz="0" w:space="0" w:color="auto"/>
        <w:left w:val="none" w:sz="0" w:space="0" w:color="auto"/>
        <w:bottom w:val="none" w:sz="0" w:space="0" w:color="auto"/>
        <w:right w:val="none" w:sz="0" w:space="0" w:color="auto"/>
      </w:divBdr>
    </w:div>
    <w:div w:id="988748688">
      <w:bodyDiv w:val="1"/>
      <w:marLeft w:val="0"/>
      <w:marRight w:val="0"/>
      <w:marTop w:val="0"/>
      <w:marBottom w:val="0"/>
      <w:divBdr>
        <w:top w:val="none" w:sz="0" w:space="0" w:color="auto"/>
        <w:left w:val="none" w:sz="0" w:space="0" w:color="auto"/>
        <w:bottom w:val="none" w:sz="0" w:space="0" w:color="auto"/>
        <w:right w:val="none" w:sz="0" w:space="0" w:color="auto"/>
      </w:divBdr>
    </w:div>
    <w:div w:id="991254675">
      <w:bodyDiv w:val="1"/>
      <w:marLeft w:val="0"/>
      <w:marRight w:val="0"/>
      <w:marTop w:val="0"/>
      <w:marBottom w:val="0"/>
      <w:divBdr>
        <w:top w:val="none" w:sz="0" w:space="0" w:color="auto"/>
        <w:left w:val="none" w:sz="0" w:space="0" w:color="auto"/>
        <w:bottom w:val="none" w:sz="0" w:space="0" w:color="auto"/>
        <w:right w:val="none" w:sz="0" w:space="0" w:color="auto"/>
      </w:divBdr>
      <w:divsChild>
        <w:div w:id="1219510480">
          <w:marLeft w:val="0"/>
          <w:marRight w:val="0"/>
          <w:marTop w:val="0"/>
          <w:marBottom w:val="0"/>
          <w:divBdr>
            <w:top w:val="none" w:sz="0" w:space="0" w:color="auto"/>
            <w:left w:val="none" w:sz="0" w:space="0" w:color="auto"/>
            <w:bottom w:val="none" w:sz="0" w:space="0" w:color="auto"/>
            <w:right w:val="none" w:sz="0" w:space="0" w:color="auto"/>
          </w:divBdr>
          <w:divsChild>
            <w:div w:id="1052123123">
              <w:marLeft w:val="0"/>
              <w:marRight w:val="0"/>
              <w:marTop w:val="0"/>
              <w:marBottom w:val="0"/>
              <w:divBdr>
                <w:top w:val="none" w:sz="0" w:space="0" w:color="auto"/>
                <w:left w:val="none" w:sz="0" w:space="0" w:color="auto"/>
                <w:bottom w:val="none" w:sz="0" w:space="0" w:color="auto"/>
                <w:right w:val="none" w:sz="0" w:space="0" w:color="auto"/>
              </w:divBdr>
            </w:div>
            <w:div w:id="1161234715">
              <w:marLeft w:val="0"/>
              <w:marRight w:val="0"/>
              <w:marTop w:val="0"/>
              <w:marBottom w:val="0"/>
              <w:divBdr>
                <w:top w:val="none" w:sz="0" w:space="0" w:color="auto"/>
                <w:left w:val="none" w:sz="0" w:space="0" w:color="auto"/>
                <w:bottom w:val="none" w:sz="0" w:space="0" w:color="auto"/>
                <w:right w:val="none" w:sz="0" w:space="0" w:color="auto"/>
              </w:divBdr>
            </w:div>
          </w:divsChild>
        </w:div>
        <w:div w:id="196436348">
          <w:marLeft w:val="0"/>
          <w:marRight w:val="0"/>
          <w:marTop w:val="0"/>
          <w:marBottom w:val="0"/>
          <w:divBdr>
            <w:top w:val="none" w:sz="0" w:space="0" w:color="auto"/>
            <w:left w:val="none" w:sz="0" w:space="0" w:color="auto"/>
            <w:bottom w:val="none" w:sz="0" w:space="0" w:color="auto"/>
            <w:right w:val="none" w:sz="0" w:space="0" w:color="auto"/>
          </w:divBdr>
        </w:div>
        <w:div w:id="1752894623">
          <w:marLeft w:val="0"/>
          <w:marRight w:val="0"/>
          <w:marTop w:val="0"/>
          <w:marBottom w:val="0"/>
          <w:divBdr>
            <w:top w:val="none" w:sz="0" w:space="0" w:color="auto"/>
            <w:left w:val="none" w:sz="0" w:space="0" w:color="auto"/>
            <w:bottom w:val="none" w:sz="0" w:space="0" w:color="auto"/>
            <w:right w:val="none" w:sz="0" w:space="0" w:color="auto"/>
          </w:divBdr>
        </w:div>
      </w:divsChild>
    </w:div>
    <w:div w:id="1014574897">
      <w:bodyDiv w:val="1"/>
      <w:marLeft w:val="0"/>
      <w:marRight w:val="0"/>
      <w:marTop w:val="0"/>
      <w:marBottom w:val="0"/>
      <w:divBdr>
        <w:top w:val="none" w:sz="0" w:space="0" w:color="auto"/>
        <w:left w:val="none" w:sz="0" w:space="0" w:color="auto"/>
        <w:bottom w:val="none" w:sz="0" w:space="0" w:color="auto"/>
        <w:right w:val="none" w:sz="0" w:space="0" w:color="auto"/>
      </w:divBdr>
    </w:div>
    <w:div w:id="1045763113">
      <w:bodyDiv w:val="1"/>
      <w:marLeft w:val="0"/>
      <w:marRight w:val="0"/>
      <w:marTop w:val="0"/>
      <w:marBottom w:val="0"/>
      <w:divBdr>
        <w:top w:val="none" w:sz="0" w:space="0" w:color="auto"/>
        <w:left w:val="none" w:sz="0" w:space="0" w:color="auto"/>
        <w:bottom w:val="none" w:sz="0" w:space="0" w:color="auto"/>
        <w:right w:val="none" w:sz="0" w:space="0" w:color="auto"/>
      </w:divBdr>
    </w:div>
    <w:div w:id="1051424123">
      <w:bodyDiv w:val="1"/>
      <w:marLeft w:val="0"/>
      <w:marRight w:val="0"/>
      <w:marTop w:val="0"/>
      <w:marBottom w:val="0"/>
      <w:divBdr>
        <w:top w:val="none" w:sz="0" w:space="0" w:color="auto"/>
        <w:left w:val="none" w:sz="0" w:space="0" w:color="auto"/>
        <w:bottom w:val="none" w:sz="0" w:space="0" w:color="auto"/>
        <w:right w:val="none" w:sz="0" w:space="0" w:color="auto"/>
      </w:divBdr>
    </w:div>
    <w:div w:id="1111782581">
      <w:bodyDiv w:val="1"/>
      <w:marLeft w:val="0"/>
      <w:marRight w:val="0"/>
      <w:marTop w:val="0"/>
      <w:marBottom w:val="0"/>
      <w:divBdr>
        <w:top w:val="none" w:sz="0" w:space="0" w:color="auto"/>
        <w:left w:val="none" w:sz="0" w:space="0" w:color="auto"/>
        <w:bottom w:val="none" w:sz="0" w:space="0" w:color="auto"/>
        <w:right w:val="none" w:sz="0" w:space="0" w:color="auto"/>
      </w:divBdr>
    </w:div>
    <w:div w:id="1160923777">
      <w:bodyDiv w:val="1"/>
      <w:marLeft w:val="0"/>
      <w:marRight w:val="0"/>
      <w:marTop w:val="0"/>
      <w:marBottom w:val="0"/>
      <w:divBdr>
        <w:top w:val="none" w:sz="0" w:space="0" w:color="auto"/>
        <w:left w:val="none" w:sz="0" w:space="0" w:color="auto"/>
        <w:bottom w:val="none" w:sz="0" w:space="0" w:color="auto"/>
        <w:right w:val="none" w:sz="0" w:space="0" w:color="auto"/>
      </w:divBdr>
    </w:div>
    <w:div w:id="1172991651">
      <w:bodyDiv w:val="1"/>
      <w:marLeft w:val="0"/>
      <w:marRight w:val="0"/>
      <w:marTop w:val="0"/>
      <w:marBottom w:val="0"/>
      <w:divBdr>
        <w:top w:val="none" w:sz="0" w:space="0" w:color="auto"/>
        <w:left w:val="none" w:sz="0" w:space="0" w:color="auto"/>
        <w:bottom w:val="none" w:sz="0" w:space="0" w:color="auto"/>
        <w:right w:val="none" w:sz="0" w:space="0" w:color="auto"/>
      </w:divBdr>
      <w:divsChild>
        <w:div w:id="21130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684722">
      <w:bodyDiv w:val="1"/>
      <w:marLeft w:val="0"/>
      <w:marRight w:val="0"/>
      <w:marTop w:val="0"/>
      <w:marBottom w:val="0"/>
      <w:divBdr>
        <w:top w:val="none" w:sz="0" w:space="0" w:color="auto"/>
        <w:left w:val="none" w:sz="0" w:space="0" w:color="auto"/>
        <w:bottom w:val="none" w:sz="0" w:space="0" w:color="auto"/>
        <w:right w:val="none" w:sz="0" w:space="0" w:color="auto"/>
      </w:divBdr>
      <w:divsChild>
        <w:div w:id="1210678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73688">
      <w:bodyDiv w:val="1"/>
      <w:marLeft w:val="0"/>
      <w:marRight w:val="0"/>
      <w:marTop w:val="0"/>
      <w:marBottom w:val="0"/>
      <w:divBdr>
        <w:top w:val="none" w:sz="0" w:space="0" w:color="auto"/>
        <w:left w:val="none" w:sz="0" w:space="0" w:color="auto"/>
        <w:bottom w:val="none" w:sz="0" w:space="0" w:color="auto"/>
        <w:right w:val="none" w:sz="0" w:space="0" w:color="auto"/>
      </w:divBdr>
      <w:divsChild>
        <w:div w:id="126094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945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956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1190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30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255349">
      <w:bodyDiv w:val="1"/>
      <w:marLeft w:val="0"/>
      <w:marRight w:val="0"/>
      <w:marTop w:val="0"/>
      <w:marBottom w:val="0"/>
      <w:divBdr>
        <w:top w:val="none" w:sz="0" w:space="0" w:color="auto"/>
        <w:left w:val="none" w:sz="0" w:space="0" w:color="auto"/>
        <w:bottom w:val="none" w:sz="0" w:space="0" w:color="auto"/>
        <w:right w:val="none" w:sz="0" w:space="0" w:color="auto"/>
      </w:divBdr>
      <w:divsChild>
        <w:div w:id="445271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2573">
      <w:bodyDiv w:val="1"/>
      <w:marLeft w:val="0"/>
      <w:marRight w:val="0"/>
      <w:marTop w:val="0"/>
      <w:marBottom w:val="0"/>
      <w:divBdr>
        <w:top w:val="none" w:sz="0" w:space="0" w:color="auto"/>
        <w:left w:val="none" w:sz="0" w:space="0" w:color="auto"/>
        <w:bottom w:val="none" w:sz="0" w:space="0" w:color="auto"/>
        <w:right w:val="none" w:sz="0" w:space="0" w:color="auto"/>
      </w:divBdr>
    </w:div>
    <w:div w:id="1582256838">
      <w:bodyDiv w:val="1"/>
      <w:marLeft w:val="0"/>
      <w:marRight w:val="0"/>
      <w:marTop w:val="0"/>
      <w:marBottom w:val="0"/>
      <w:divBdr>
        <w:top w:val="none" w:sz="0" w:space="0" w:color="auto"/>
        <w:left w:val="none" w:sz="0" w:space="0" w:color="auto"/>
        <w:bottom w:val="none" w:sz="0" w:space="0" w:color="auto"/>
        <w:right w:val="none" w:sz="0" w:space="0" w:color="auto"/>
      </w:divBdr>
    </w:div>
    <w:div w:id="1676807972">
      <w:bodyDiv w:val="1"/>
      <w:marLeft w:val="0"/>
      <w:marRight w:val="0"/>
      <w:marTop w:val="0"/>
      <w:marBottom w:val="0"/>
      <w:divBdr>
        <w:top w:val="none" w:sz="0" w:space="0" w:color="auto"/>
        <w:left w:val="none" w:sz="0" w:space="0" w:color="auto"/>
        <w:bottom w:val="none" w:sz="0" w:space="0" w:color="auto"/>
        <w:right w:val="none" w:sz="0" w:space="0" w:color="auto"/>
      </w:divBdr>
    </w:div>
    <w:div w:id="1714428775">
      <w:bodyDiv w:val="1"/>
      <w:marLeft w:val="0"/>
      <w:marRight w:val="0"/>
      <w:marTop w:val="0"/>
      <w:marBottom w:val="0"/>
      <w:divBdr>
        <w:top w:val="none" w:sz="0" w:space="0" w:color="auto"/>
        <w:left w:val="none" w:sz="0" w:space="0" w:color="auto"/>
        <w:bottom w:val="none" w:sz="0" w:space="0" w:color="auto"/>
        <w:right w:val="none" w:sz="0" w:space="0" w:color="auto"/>
      </w:divBdr>
    </w:div>
    <w:div w:id="1770153426">
      <w:bodyDiv w:val="1"/>
      <w:marLeft w:val="0"/>
      <w:marRight w:val="0"/>
      <w:marTop w:val="0"/>
      <w:marBottom w:val="0"/>
      <w:divBdr>
        <w:top w:val="none" w:sz="0" w:space="0" w:color="auto"/>
        <w:left w:val="none" w:sz="0" w:space="0" w:color="auto"/>
        <w:bottom w:val="none" w:sz="0" w:space="0" w:color="auto"/>
        <w:right w:val="none" w:sz="0" w:space="0" w:color="auto"/>
      </w:divBdr>
      <w:divsChild>
        <w:div w:id="1493138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307423">
      <w:bodyDiv w:val="1"/>
      <w:marLeft w:val="0"/>
      <w:marRight w:val="0"/>
      <w:marTop w:val="0"/>
      <w:marBottom w:val="0"/>
      <w:divBdr>
        <w:top w:val="none" w:sz="0" w:space="0" w:color="auto"/>
        <w:left w:val="none" w:sz="0" w:space="0" w:color="auto"/>
        <w:bottom w:val="none" w:sz="0" w:space="0" w:color="auto"/>
        <w:right w:val="none" w:sz="0" w:space="0" w:color="auto"/>
      </w:divBdr>
    </w:div>
    <w:div w:id="1820800935">
      <w:bodyDiv w:val="1"/>
      <w:marLeft w:val="0"/>
      <w:marRight w:val="0"/>
      <w:marTop w:val="0"/>
      <w:marBottom w:val="0"/>
      <w:divBdr>
        <w:top w:val="none" w:sz="0" w:space="0" w:color="auto"/>
        <w:left w:val="none" w:sz="0" w:space="0" w:color="auto"/>
        <w:bottom w:val="none" w:sz="0" w:space="0" w:color="auto"/>
        <w:right w:val="none" w:sz="0" w:space="0" w:color="auto"/>
      </w:divBdr>
    </w:div>
    <w:div w:id="1831632891">
      <w:bodyDiv w:val="1"/>
      <w:marLeft w:val="0"/>
      <w:marRight w:val="0"/>
      <w:marTop w:val="0"/>
      <w:marBottom w:val="0"/>
      <w:divBdr>
        <w:top w:val="none" w:sz="0" w:space="0" w:color="auto"/>
        <w:left w:val="none" w:sz="0" w:space="0" w:color="auto"/>
        <w:bottom w:val="none" w:sz="0" w:space="0" w:color="auto"/>
        <w:right w:val="none" w:sz="0" w:space="0" w:color="auto"/>
      </w:divBdr>
    </w:div>
    <w:div w:id="1986548421">
      <w:bodyDiv w:val="1"/>
      <w:marLeft w:val="0"/>
      <w:marRight w:val="0"/>
      <w:marTop w:val="0"/>
      <w:marBottom w:val="0"/>
      <w:divBdr>
        <w:top w:val="none" w:sz="0" w:space="0" w:color="auto"/>
        <w:left w:val="none" w:sz="0" w:space="0" w:color="auto"/>
        <w:bottom w:val="none" w:sz="0" w:space="0" w:color="auto"/>
        <w:right w:val="none" w:sz="0" w:space="0" w:color="auto"/>
      </w:divBdr>
    </w:div>
    <w:div w:id="2047027222">
      <w:bodyDiv w:val="1"/>
      <w:marLeft w:val="0"/>
      <w:marRight w:val="0"/>
      <w:marTop w:val="0"/>
      <w:marBottom w:val="0"/>
      <w:divBdr>
        <w:top w:val="none" w:sz="0" w:space="0" w:color="auto"/>
        <w:left w:val="none" w:sz="0" w:space="0" w:color="auto"/>
        <w:bottom w:val="none" w:sz="0" w:space="0" w:color="auto"/>
        <w:right w:val="none" w:sz="0" w:space="0" w:color="auto"/>
      </w:divBdr>
    </w:div>
    <w:div w:id="2079597480">
      <w:bodyDiv w:val="1"/>
      <w:marLeft w:val="0"/>
      <w:marRight w:val="0"/>
      <w:marTop w:val="0"/>
      <w:marBottom w:val="0"/>
      <w:divBdr>
        <w:top w:val="none" w:sz="0" w:space="0" w:color="auto"/>
        <w:left w:val="none" w:sz="0" w:space="0" w:color="auto"/>
        <w:bottom w:val="none" w:sz="0" w:space="0" w:color="auto"/>
        <w:right w:val="none" w:sz="0" w:space="0" w:color="auto"/>
      </w:divBdr>
    </w:div>
    <w:div w:id="2117628819">
      <w:bodyDiv w:val="1"/>
      <w:marLeft w:val="0"/>
      <w:marRight w:val="0"/>
      <w:marTop w:val="0"/>
      <w:marBottom w:val="0"/>
      <w:divBdr>
        <w:top w:val="none" w:sz="0" w:space="0" w:color="auto"/>
        <w:left w:val="none" w:sz="0" w:space="0" w:color="auto"/>
        <w:bottom w:val="none" w:sz="0" w:space="0" w:color="auto"/>
        <w:right w:val="none" w:sz="0" w:space="0" w:color="auto"/>
      </w:divBdr>
    </w:div>
    <w:div w:id="21423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u17v\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09F02-02D1-46BC-864D-854F2F72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2</Pages>
  <Words>15038</Words>
  <Characters>85722</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Odiachi, Jingi</dc:creator>
  <cp:keywords/>
  <dc:description/>
  <cp:lastModifiedBy>pati-svc</cp:lastModifiedBy>
  <cp:revision>2</cp:revision>
  <cp:lastPrinted>2025-03-03T16:43:00Z</cp:lastPrinted>
  <dcterms:created xsi:type="dcterms:W3CDTF">2025-03-04T10:45:00Z</dcterms:created>
  <dcterms:modified xsi:type="dcterms:W3CDTF">2025-03-04T10:45:00Z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CA-2024-000393</vt:lpwstr>
  </property>
  <property fmtid="{D5CDD505-2E9C-101B-9397-08002B2CF9AE}" pid="9" name="NCJudge">
    <vt:lpwstr>LORD JUSTICE UNDERHILL</vt:lpwstr>
  </property>
  <property fmtid="{D5CDD505-2E9C-101B-9397-08002B2CF9AE}" pid="10" name="NCCaseTitle">
    <vt:lpwstr>DF v Essex County Council</vt:lpwstr>
  </property>
  <property fmtid="{D5CDD505-2E9C-101B-9397-08002B2CF9AE}" pid="11" name="NCNumber">
    <vt:lpwstr>[2025] EWCA Civ 200</vt:lpwstr>
  </property>
  <property fmtid="{D5CDD505-2E9C-101B-9397-08002B2CF9AE}" pid="12" name="NCJudgeDate">
    <vt:lpwstr>04/03/2025</vt:lpwstr>
  </property>
</Properties>
</file>